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2019年12月水上安全形势分析报告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kern w:val="0"/>
          <w:sz w:val="31"/>
          <w:szCs w:val="31"/>
          <w:bdr w:val="none" w:color="auto" w:sz="0" w:space="0"/>
          <w:lang w:val="en-US" w:eastAsia="zh-CN" w:bidi="ar"/>
        </w:rPr>
        <w:t>一、</w:t>
      </w:r>
      <w:r>
        <w:rPr>
          <w:rFonts w:hint="eastAsia" w:ascii="黑体" w:hAnsi="宋体" w:eastAsia="黑体" w:cs="黑体"/>
          <w:kern w:val="0"/>
          <w:sz w:val="31"/>
          <w:szCs w:val="31"/>
          <w:bdr w:val="none" w:color="auto" w:sz="0" w:space="0"/>
          <w:lang w:val="en-US" w:eastAsia="zh-CN" w:bidi="ar"/>
        </w:rPr>
        <w:t> 月度险情形势总体概述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15" w:right="0" w:firstLine="315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船舶流量0.98万艘次，同比下降9.8%，环比基本持平。险情7起。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二、VTS监管与服务情况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  本月接收船舶报告3.48艘次，提供安全信息服务0.41万次；VTS区域未发生监管责任事故。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三、月度辖区险情分析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12月份河北辖区共接报海上险情7起，一般等级6起,较大等级1起。12月份共组织救助行动7次，协调船艇74艘次，专业救助直升机1架次，成功救助63人，人命救助成功率92.6%。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5583D"/>
    <w:rsid w:val="244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2020-11-20T10:18:00Z</dcterms:created>
  <dc:creator>焦建宜</dc:creator>
  <cp:lastModifiedBy>焦建宜</cp:lastModifiedBy>
  <dcterms:modified xsi:type="dcterms:W3CDTF">2020-11-20T10:19:04Z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