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AA" w:rsidRPr="007F767D" w:rsidRDefault="00650D05" w:rsidP="00F136AA">
      <w:pPr>
        <w:widowControl/>
        <w:spacing w:beforeLines="0" w:afterLines="0" w:line="640" w:lineRule="exact"/>
        <w:jc w:val="center"/>
        <w:textAlignment w:val="center"/>
        <w:rPr>
          <w:rFonts w:ascii="黑体" w:eastAsia="黑体" w:hAnsi="黑体" w:cs="宋体"/>
          <w:bCs/>
          <w:color w:val="000000"/>
          <w:kern w:val="0"/>
          <w:sz w:val="32"/>
          <w:szCs w:val="32"/>
        </w:rPr>
      </w:pPr>
      <w:r w:rsidRPr="007F767D">
        <w:rPr>
          <w:rFonts w:ascii="黑体" w:eastAsia="黑体" w:hAnsi="黑体" w:cs="宋体"/>
          <w:bCs/>
          <w:color w:val="000000"/>
          <w:kern w:val="0"/>
          <w:sz w:val="32"/>
          <w:szCs w:val="32"/>
        </w:rPr>
        <w:t>关于修改船舶最低安全配员表的通知</w:t>
      </w:r>
    </w:p>
    <w:p w:rsidR="00650D05" w:rsidRPr="00F136AA" w:rsidRDefault="00650D05" w:rsidP="00F136AA">
      <w:pPr>
        <w:widowControl/>
        <w:spacing w:beforeLines="0" w:afterLines="0" w:line="500" w:lineRule="exact"/>
        <w:jc w:val="center"/>
        <w:textAlignment w:val="center"/>
        <w:rPr>
          <w:rFonts w:ascii="楷体" w:eastAsia="楷体" w:hAnsi="楷体" w:cs="宋体"/>
          <w:color w:val="000000"/>
          <w:kern w:val="0"/>
          <w:sz w:val="28"/>
          <w:szCs w:val="28"/>
        </w:rPr>
      </w:pPr>
      <w:r w:rsidRPr="000F05D8">
        <w:rPr>
          <w:rFonts w:ascii="楷体" w:eastAsia="楷体" w:hAnsi="楷体" w:cs="宋体"/>
          <w:color w:val="000000"/>
          <w:kern w:val="0"/>
          <w:sz w:val="28"/>
          <w:szCs w:val="28"/>
        </w:rPr>
        <w:t>海船舶</w:t>
      </w:r>
      <w:r>
        <w:rPr>
          <w:rFonts w:ascii="楷体" w:eastAsia="楷体" w:hAnsi="楷体" w:cs="宋体"/>
          <w:color w:val="000000"/>
          <w:kern w:val="0"/>
          <w:sz w:val="28"/>
          <w:szCs w:val="28"/>
        </w:rPr>
        <w:t>﹝</w:t>
      </w:r>
      <w:r w:rsidRPr="000F05D8">
        <w:rPr>
          <w:rFonts w:ascii="楷体" w:eastAsia="楷体" w:hAnsi="楷体" w:cs="宋体"/>
          <w:color w:val="000000"/>
          <w:kern w:val="0"/>
          <w:sz w:val="28"/>
          <w:szCs w:val="28"/>
        </w:rPr>
        <w:t>20</w:t>
      </w:r>
      <w:r>
        <w:rPr>
          <w:rFonts w:ascii="楷体" w:eastAsia="楷体" w:hAnsi="楷体" w:cs="宋体" w:hint="eastAsia"/>
          <w:color w:val="000000"/>
          <w:kern w:val="0"/>
          <w:sz w:val="28"/>
          <w:szCs w:val="28"/>
        </w:rPr>
        <w:t>06</w:t>
      </w:r>
      <w:r>
        <w:rPr>
          <w:rFonts w:ascii="楷体" w:eastAsia="楷体" w:hAnsi="楷体" w:cs="宋体"/>
          <w:color w:val="000000"/>
          <w:kern w:val="0"/>
          <w:sz w:val="28"/>
          <w:szCs w:val="28"/>
        </w:rPr>
        <w:t>﹞</w:t>
      </w:r>
      <w:r w:rsidRPr="000F05D8">
        <w:rPr>
          <w:rFonts w:ascii="楷体" w:eastAsia="楷体" w:hAnsi="楷体" w:cs="宋体"/>
          <w:color w:val="000000"/>
          <w:kern w:val="0"/>
          <w:sz w:val="28"/>
          <w:szCs w:val="28"/>
        </w:rPr>
        <w:t>第</w:t>
      </w:r>
      <w:r>
        <w:rPr>
          <w:rFonts w:ascii="楷体" w:eastAsia="楷体" w:hAnsi="楷体" w:cs="宋体" w:hint="eastAsia"/>
          <w:color w:val="000000"/>
          <w:kern w:val="0"/>
          <w:sz w:val="28"/>
          <w:szCs w:val="28"/>
        </w:rPr>
        <w:t>145</w:t>
      </w:r>
      <w:r w:rsidRPr="000F05D8">
        <w:rPr>
          <w:rFonts w:ascii="楷体" w:eastAsia="楷体" w:hAnsi="楷体" w:cs="宋体"/>
          <w:color w:val="000000"/>
          <w:kern w:val="0"/>
          <w:sz w:val="28"/>
          <w:szCs w:val="28"/>
        </w:rPr>
        <w:t>号</w:t>
      </w:r>
      <w:r>
        <w:rPr>
          <w:rFonts w:ascii="楷体" w:eastAsia="楷体" w:hAnsi="楷体" w:cs="宋体" w:hint="eastAsia"/>
          <w:color w:val="000000"/>
          <w:kern w:val="0"/>
          <w:sz w:val="28"/>
          <w:szCs w:val="28"/>
        </w:rPr>
        <w:t xml:space="preserve">  </w:t>
      </w:r>
      <w:r w:rsidRPr="00F136AA">
        <w:rPr>
          <w:rFonts w:ascii="楷体" w:eastAsia="楷体" w:hAnsi="楷体" w:cs="宋体"/>
          <w:color w:val="000000"/>
          <w:kern w:val="0"/>
          <w:sz w:val="28"/>
          <w:szCs w:val="28"/>
        </w:rPr>
        <w:t>2006年4月13日</w:t>
      </w:r>
    </w:p>
    <w:p w:rsidR="00F136AA" w:rsidRDefault="00650D05" w:rsidP="00F136AA">
      <w:pPr>
        <w:widowControl/>
        <w:spacing w:beforeLines="0" w:afterLines="0" w:line="500" w:lineRule="exact"/>
        <w:ind w:firstLine="570"/>
        <w:jc w:val="left"/>
        <w:textAlignment w:val="center"/>
        <w:rPr>
          <w:rFonts w:ascii="楷体" w:eastAsia="楷体" w:hAnsi="楷体" w:cs="宋体"/>
          <w:color w:val="000000"/>
          <w:kern w:val="0"/>
          <w:sz w:val="28"/>
          <w:szCs w:val="28"/>
        </w:rPr>
      </w:pPr>
      <w:r w:rsidRPr="00F136AA">
        <w:rPr>
          <w:rFonts w:ascii="楷体" w:eastAsia="楷体" w:hAnsi="楷体" w:cs="宋体"/>
          <w:color w:val="000000"/>
          <w:kern w:val="0"/>
          <w:sz w:val="28"/>
          <w:szCs w:val="28"/>
        </w:rPr>
        <w:t>根据《</w:t>
      </w:r>
      <w:hyperlink r:id="rId7" w:history="1">
        <w:r w:rsidRPr="00F136AA">
          <w:rPr>
            <w:rFonts w:ascii="楷体" w:eastAsia="楷体" w:hAnsi="楷体" w:cs="宋体"/>
            <w:color w:val="000000"/>
            <w:kern w:val="0"/>
            <w:sz w:val="28"/>
            <w:szCs w:val="28"/>
          </w:rPr>
          <w:t>中华人民共和国船舶最低安全配员规则</w:t>
        </w:r>
      </w:hyperlink>
      <w:r w:rsidRPr="00F136AA">
        <w:rPr>
          <w:rFonts w:ascii="楷体" w:eastAsia="楷体" w:hAnsi="楷体" w:cs="宋体"/>
          <w:color w:val="000000"/>
          <w:kern w:val="0"/>
          <w:sz w:val="28"/>
          <w:szCs w:val="28"/>
        </w:rPr>
        <w:t>》（交通部2004年第7号令）</w:t>
      </w:r>
      <w:hyperlink r:id="rId8" w:history="1">
        <w:r w:rsidRPr="00F136AA">
          <w:rPr>
            <w:rFonts w:ascii="楷体" w:eastAsia="楷体" w:hAnsi="楷体" w:cs="宋体"/>
            <w:color w:val="000000"/>
            <w:kern w:val="0"/>
            <w:sz w:val="28"/>
            <w:szCs w:val="28"/>
          </w:rPr>
          <w:t>第二十六条</w:t>
        </w:r>
      </w:hyperlink>
      <w:r w:rsidRPr="00F136AA">
        <w:rPr>
          <w:rFonts w:ascii="楷体" w:eastAsia="楷体" w:hAnsi="楷体" w:cs="宋体"/>
          <w:color w:val="000000"/>
          <w:kern w:val="0"/>
          <w:sz w:val="28"/>
          <w:szCs w:val="28"/>
        </w:rPr>
        <w:t>的规定，我局决定对该规则附录一、附录二、附录三的内容进行修改。修改后的内容见附件1、附件2、附件3。新修订的内容自2006年5月1日起施行。在此之前签发的船舶最低安全配员证书如与修改后的配员表规定不一致的，船舶所有人应于2006年12月31日之前，持原证书等有关材料到发证机关（船舶登记机关）办理换证手续，发证机关不得收取任何换证费用。请各局将上述要求通知所辖的船舶登记机关和船舶所有人。</w:t>
      </w:r>
      <w:r w:rsidR="00F136AA">
        <w:rPr>
          <w:rFonts w:ascii="楷体" w:eastAsia="楷体" w:hAnsi="楷体" w:cs="宋体"/>
          <w:color w:val="000000"/>
          <w:kern w:val="0"/>
          <w:sz w:val="28"/>
          <w:szCs w:val="28"/>
        </w:rPr>
        <w:br w:type="page"/>
      </w:r>
    </w:p>
    <w:p w:rsidR="00F136AA" w:rsidRDefault="00F136AA" w:rsidP="005D6895">
      <w:pPr>
        <w:widowControl/>
        <w:spacing w:beforeLines="0" w:afterLines="0" w:line="300" w:lineRule="exact"/>
        <w:ind w:leftChars="200" w:left="700" w:hangingChars="100" w:hanging="280"/>
        <w:jc w:val="left"/>
        <w:textAlignment w:val="center"/>
        <w:rPr>
          <w:rFonts w:ascii="楷体" w:eastAsia="楷体" w:hAnsi="楷体" w:cs="宋体"/>
          <w:color w:val="000000"/>
          <w:kern w:val="0"/>
          <w:sz w:val="28"/>
          <w:szCs w:val="28"/>
        </w:rPr>
      </w:pPr>
    </w:p>
    <w:p w:rsidR="00650D05" w:rsidRPr="00F136AA" w:rsidRDefault="00650D05" w:rsidP="00F136AA">
      <w:pPr>
        <w:widowControl/>
        <w:spacing w:beforeLines="0" w:afterLines="0" w:line="500" w:lineRule="exact"/>
        <w:jc w:val="left"/>
        <w:textAlignment w:val="center"/>
        <w:rPr>
          <w:rFonts w:ascii="楷体" w:eastAsia="楷体" w:hAnsi="楷体" w:cs="宋体"/>
          <w:color w:val="000000"/>
          <w:kern w:val="0"/>
          <w:sz w:val="28"/>
          <w:szCs w:val="28"/>
        </w:rPr>
      </w:pPr>
      <w:r w:rsidRPr="00F136AA">
        <w:rPr>
          <w:rFonts w:ascii="楷体" w:eastAsia="楷体" w:hAnsi="楷体" w:cs="宋体"/>
          <w:color w:val="000000"/>
          <w:kern w:val="0"/>
          <w:sz w:val="28"/>
          <w:szCs w:val="28"/>
        </w:rPr>
        <w:t>附录2：</w:t>
      </w:r>
    </w:p>
    <w:p w:rsidR="00650D05" w:rsidRPr="00F136AA" w:rsidRDefault="00650D05" w:rsidP="00F136AA">
      <w:pPr>
        <w:widowControl/>
        <w:spacing w:beforeLines="0" w:afterLines="0" w:line="500" w:lineRule="exact"/>
        <w:jc w:val="center"/>
        <w:textAlignment w:val="center"/>
        <w:rPr>
          <w:rFonts w:ascii="黑体" w:eastAsia="黑体" w:hAnsi="黑体" w:cs="宋体"/>
          <w:color w:val="000000"/>
          <w:kern w:val="0"/>
          <w:sz w:val="28"/>
          <w:szCs w:val="28"/>
        </w:rPr>
      </w:pPr>
      <w:r w:rsidRPr="00F136AA">
        <w:rPr>
          <w:rFonts w:ascii="黑体" w:eastAsia="黑体" w:hAnsi="黑体" w:cs="宋体"/>
          <w:color w:val="000000"/>
          <w:kern w:val="0"/>
          <w:sz w:val="28"/>
          <w:szCs w:val="28"/>
        </w:rPr>
        <w:t>海船无线电人员最低安全配员表</w:t>
      </w:r>
    </w:p>
    <w:tbl>
      <w:tblPr>
        <w:tblW w:w="49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696"/>
        <w:gridCol w:w="1062"/>
        <w:gridCol w:w="4411"/>
      </w:tblGrid>
      <w:tr w:rsidR="00650D05" w:rsidRPr="00650D05" w:rsidTr="00650D0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海区</w:t>
            </w:r>
          </w:p>
        </w:tc>
        <w:tc>
          <w:tcPr>
            <w:tcW w:w="335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GMDSS设备</w:t>
            </w:r>
          </w:p>
        </w:tc>
      </w:tr>
      <w:tr w:rsidR="00650D05" w:rsidRPr="00650D05" w:rsidTr="00650D0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A1</w:t>
            </w:r>
          </w:p>
        </w:tc>
        <w:tc>
          <w:tcPr>
            <w:tcW w:w="335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兼职GMDSS限用操作员1人。</w:t>
            </w:r>
          </w:p>
        </w:tc>
      </w:tr>
      <w:tr w:rsidR="00650D05" w:rsidRPr="00650D05" w:rsidTr="00650D0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A2</w:t>
            </w:r>
          </w:p>
        </w:tc>
        <w:tc>
          <w:tcPr>
            <w:tcW w:w="335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专职GMDSS通用操作员1人或兼职GMDSS通用操作员2人。</w:t>
            </w:r>
          </w:p>
        </w:tc>
      </w:tr>
      <w:tr w:rsidR="00650D05" w:rsidRPr="00650D05" w:rsidTr="00650D05">
        <w:trPr>
          <w:trHeight w:val="450"/>
          <w:tblCellSpacing w:w="0" w:type="dxa"/>
          <w:jc w:val="center"/>
        </w:trPr>
        <w:tc>
          <w:tcPr>
            <w:tcW w:w="1650" w:type="pct"/>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A3和A4</w:t>
            </w:r>
          </w:p>
        </w:tc>
        <w:tc>
          <w:tcPr>
            <w:tcW w:w="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双套</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专职GMDSS通用操作员1人或兼职GMDSS通用操作员2人。</w:t>
            </w:r>
          </w:p>
        </w:tc>
      </w:tr>
      <w:tr w:rsidR="00650D05" w:rsidRPr="00650D05" w:rsidTr="00650D05">
        <w:trPr>
          <w:trHeight w:val="360"/>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p>
        </w:tc>
        <w:tc>
          <w:tcPr>
            <w:tcW w:w="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单套</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专职GMDSS无线电电子员1人。</w:t>
            </w:r>
          </w:p>
        </w:tc>
      </w:tr>
    </w:tbl>
    <w:p w:rsidR="00F136AA" w:rsidRDefault="00650D05" w:rsidP="00F136AA">
      <w:pPr>
        <w:widowControl/>
        <w:spacing w:beforeLines="0" w:afterLines="0" w:line="320" w:lineRule="exact"/>
        <w:ind w:leftChars="8" w:left="647" w:hangingChars="300" w:hanging="630"/>
        <w:jc w:val="left"/>
        <w:textAlignment w:val="center"/>
        <w:rPr>
          <w:rFonts w:ascii="楷体" w:eastAsia="楷体" w:hAnsi="楷体" w:cs="Arial"/>
          <w:color w:val="000000"/>
          <w:kern w:val="0"/>
          <w:szCs w:val="21"/>
        </w:rPr>
      </w:pPr>
      <w:r w:rsidRPr="00F136AA">
        <w:rPr>
          <w:rFonts w:ascii="楷体" w:eastAsia="楷体" w:hAnsi="楷体" w:cs="Arial"/>
          <w:color w:val="000000"/>
          <w:kern w:val="0"/>
          <w:szCs w:val="21"/>
        </w:rPr>
        <w:t>注：1、A1、A2、A3和A4海区是指1974年国际海上人命安全公约1988年修正案所界定的区域；</w:t>
      </w:r>
    </w:p>
    <w:p w:rsidR="00F136AA" w:rsidRDefault="00650D05" w:rsidP="00F136AA">
      <w:pPr>
        <w:widowControl/>
        <w:spacing w:beforeLines="0" w:afterLines="0" w:line="320" w:lineRule="exact"/>
        <w:ind w:leftChars="8" w:left="752" w:hangingChars="350" w:hanging="735"/>
        <w:jc w:val="left"/>
        <w:textAlignment w:val="center"/>
        <w:rPr>
          <w:rFonts w:ascii="楷体" w:eastAsia="楷体" w:hAnsi="楷体" w:cs="Arial"/>
          <w:color w:val="000000"/>
          <w:kern w:val="0"/>
          <w:szCs w:val="21"/>
        </w:rPr>
      </w:pPr>
      <w:r w:rsidRPr="00F136AA">
        <w:rPr>
          <w:rFonts w:ascii="楷体" w:eastAsia="楷体" w:hAnsi="楷体" w:cs="Arial"/>
          <w:color w:val="000000"/>
          <w:kern w:val="0"/>
          <w:szCs w:val="21"/>
        </w:rPr>
        <w:t xml:space="preserve">　　2、经船舶检验部门批准（应在相关证书中标明或出具相应证明）暂未配备GMDSS设备的，可暂不配备GMDSS操作员；</w:t>
      </w:r>
    </w:p>
    <w:p w:rsidR="00F136AA" w:rsidRDefault="00650D05" w:rsidP="00F136AA">
      <w:pPr>
        <w:widowControl/>
        <w:spacing w:beforeLines="0" w:afterLines="0" w:line="320" w:lineRule="exact"/>
        <w:ind w:leftChars="8" w:left="752" w:hangingChars="350" w:hanging="735"/>
        <w:jc w:val="left"/>
        <w:textAlignment w:val="center"/>
        <w:rPr>
          <w:rFonts w:ascii="楷体" w:eastAsia="楷体" w:hAnsi="楷体" w:cs="Arial"/>
          <w:color w:val="000000"/>
          <w:kern w:val="0"/>
          <w:szCs w:val="21"/>
        </w:rPr>
      </w:pPr>
      <w:r w:rsidRPr="00F136AA">
        <w:rPr>
          <w:rFonts w:ascii="楷体" w:eastAsia="楷体" w:hAnsi="楷体" w:cs="Arial"/>
          <w:color w:val="000000"/>
          <w:kern w:val="0"/>
          <w:szCs w:val="21"/>
        </w:rPr>
        <w:t xml:space="preserve">　　3、船舶在未设有GMDSS岸上设施的水域航行，经该水域辖区的海事管理机构报主管机关批准后，可暂免予配备GMDSS操作员；</w:t>
      </w:r>
    </w:p>
    <w:p w:rsidR="00F136AA" w:rsidRDefault="00650D05" w:rsidP="00F136AA">
      <w:pPr>
        <w:widowControl/>
        <w:spacing w:beforeLines="0" w:afterLines="0" w:line="320" w:lineRule="exact"/>
        <w:ind w:leftChars="8" w:left="752" w:hangingChars="350" w:hanging="735"/>
        <w:jc w:val="left"/>
        <w:textAlignment w:val="center"/>
        <w:rPr>
          <w:rFonts w:ascii="宋体" w:eastAsia="宋体" w:hAnsi="宋体" w:cs="Arial"/>
          <w:b/>
          <w:bCs/>
          <w:color w:val="000000"/>
          <w:kern w:val="0"/>
          <w:sz w:val="24"/>
          <w:szCs w:val="24"/>
        </w:rPr>
      </w:pPr>
      <w:r w:rsidRPr="00F136AA">
        <w:rPr>
          <w:rFonts w:ascii="楷体" w:eastAsia="楷体" w:hAnsi="楷体" w:cs="Arial"/>
          <w:color w:val="000000"/>
          <w:kern w:val="0"/>
          <w:szCs w:val="21"/>
        </w:rPr>
        <w:t xml:space="preserve">　　4、500总吨以下船舶（仅航行在A1＋A2海区）可配兼职GMDSS通用操作员1人；300总吨及以下国内航行船舶免配GMDSS操作员。</w:t>
      </w:r>
      <w:r w:rsidR="00F136AA">
        <w:rPr>
          <w:rFonts w:ascii="宋体" w:eastAsia="宋体" w:hAnsi="宋体" w:cs="Arial"/>
          <w:b/>
          <w:bCs/>
          <w:color w:val="000000"/>
          <w:kern w:val="0"/>
          <w:sz w:val="24"/>
          <w:szCs w:val="24"/>
        </w:rPr>
        <w:br w:type="page"/>
      </w:r>
    </w:p>
    <w:p w:rsidR="00650D05" w:rsidRPr="00F136AA" w:rsidRDefault="00650D05" w:rsidP="00F136AA">
      <w:pPr>
        <w:widowControl/>
        <w:spacing w:beforeLines="0" w:afterLines="0" w:line="500" w:lineRule="exact"/>
        <w:jc w:val="left"/>
        <w:textAlignment w:val="center"/>
        <w:rPr>
          <w:rFonts w:ascii="楷体" w:eastAsia="楷体" w:hAnsi="楷体" w:cs="宋体"/>
          <w:color w:val="000000"/>
          <w:kern w:val="0"/>
          <w:sz w:val="28"/>
          <w:szCs w:val="28"/>
        </w:rPr>
      </w:pPr>
      <w:r w:rsidRPr="00F136AA">
        <w:rPr>
          <w:rFonts w:ascii="楷体" w:eastAsia="楷体" w:hAnsi="楷体" w:cs="宋体"/>
          <w:color w:val="000000"/>
          <w:kern w:val="0"/>
          <w:sz w:val="28"/>
          <w:szCs w:val="28"/>
        </w:rPr>
        <w:lastRenderedPageBreak/>
        <w:t>附录3：</w:t>
      </w:r>
    </w:p>
    <w:p w:rsidR="00650D05" w:rsidRPr="00F136AA" w:rsidRDefault="00650D05" w:rsidP="00F136AA">
      <w:pPr>
        <w:widowControl/>
        <w:spacing w:beforeLines="0" w:afterLines="0" w:line="500" w:lineRule="exact"/>
        <w:jc w:val="center"/>
        <w:textAlignment w:val="center"/>
        <w:rPr>
          <w:rFonts w:ascii="黑体" w:eastAsia="黑体" w:hAnsi="黑体" w:cs="宋体"/>
          <w:color w:val="000000"/>
          <w:kern w:val="0"/>
          <w:sz w:val="28"/>
          <w:szCs w:val="28"/>
        </w:rPr>
      </w:pPr>
      <w:r w:rsidRPr="00F136AA">
        <w:rPr>
          <w:rFonts w:ascii="黑体" w:eastAsia="黑体" w:hAnsi="黑体" w:cs="宋体"/>
          <w:color w:val="000000"/>
          <w:kern w:val="0"/>
          <w:sz w:val="28"/>
          <w:szCs w:val="28"/>
        </w:rPr>
        <w:t>内河船舶甲板部、轮机部和客运部最低安全配员表</w:t>
      </w:r>
    </w:p>
    <w:tbl>
      <w:tblPr>
        <w:tblW w:w="49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67"/>
        <w:gridCol w:w="456"/>
        <w:gridCol w:w="1567"/>
        <w:gridCol w:w="1651"/>
        <w:gridCol w:w="1518"/>
        <w:gridCol w:w="1532"/>
        <w:gridCol w:w="1078"/>
      </w:tblGrid>
      <w:tr w:rsidR="00650D05" w:rsidRPr="00F136AA" w:rsidTr="00650D05">
        <w:trPr>
          <w:trHeight w:val="510"/>
          <w:tblCellSpacing w:w="0" w:type="dxa"/>
          <w:jc w:val="center"/>
        </w:trPr>
        <w:tc>
          <w:tcPr>
            <w:tcW w:w="14295" w:type="dxa"/>
            <w:gridSpan w:val="7"/>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甲板部</w:t>
            </w:r>
          </w:p>
        </w:tc>
      </w:tr>
      <w:tr w:rsidR="00650D05" w:rsidRPr="00F136AA" w:rsidTr="00650D05">
        <w:trPr>
          <w:trHeight w:val="285"/>
          <w:tblCellSpacing w:w="0" w:type="dxa"/>
          <w:jc w:val="center"/>
        </w:trPr>
        <w:tc>
          <w:tcPr>
            <w:tcW w:w="1215" w:type="dxa"/>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船舶等级</w:t>
            </w:r>
          </w:p>
        </w:tc>
        <w:tc>
          <w:tcPr>
            <w:tcW w:w="27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1600总吨及以上</w:t>
            </w:r>
          </w:p>
        </w:tc>
        <w:tc>
          <w:tcPr>
            <w:tcW w:w="30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600总吨及以上至未满1600总吨</w:t>
            </w:r>
          </w:p>
        </w:tc>
        <w:tc>
          <w:tcPr>
            <w:tcW w:w="27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200总吨及以上至未满600总吨</w:t>
            </w:r>
          </w:p>
        </w:tc>
        <w:tc>
          <w:tcPr>
            <w:tcW w:w="27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50总吨及以上至未满200总吨</w:t>
            </w:r>
          </w:p>
        </w:tc>
        <w:tc>
          <w:tcPr>
            <w:tcW w:w="150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未满50总吨</w:t>
            </w:r>
          </w:p>
        </w:tc>
      </w:tr>
      <w:tr w:rsidR="00650D05" w:rsidRPr="00F136AA" w:rsidTr="00650D05">
        <w:trPr>
          <w:trHeight w:val="705"/>
          <w:tblCellSpacing w:w="0" w:type="dxa"/>
          <w:jc w:val="center"/>
        </w:trPr>
        <w:tc>
          <w:tcPr>
            <w:tcW w:w="510" w:type="dxa"/>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一般船舶</w:t>
            </w:r>
          </w:p>
        </w:tc>
        <w:tc>
          <w:tcPr>
            <w:tcW w:w="6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一般规定</w:t>
            </w:r>
          </w:p>
        </w:tc>
        <w:tc>
          <w:tcPr>
            <w:tcW w:w="27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船长1人、大副、二副、三副各1人、水手3人。</w:t>
            </w:r>
          </w:p>
        </w:tc>
        <w:tc>
          <w:tcPr>
            <w:tcW w:w="30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船长、大副、三副各1人、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水手2人。</w:t>
            </w:r>
          </w:p>
        </w:tc>
        <w:tc>
          <w:tcPr>
            <w:tcW w:w="27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船长1人、驾驶员1人、水手1人。</w:t>
            </w:r>
          </w:p>
        </w:tc>
        <w:tc>
          <w:tcPr>
            <w:tcW w:w="27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驾驶员1人。</w:t>
            </w:r>
          </w:p>
        </w:tc>
        <w:tc>
          <w:tcPr>
            <w:tcW w:w="150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驾机员1人。</w:t>
            </w:r>
          </w:p>
        </w:tc>
      </w:tr>
      <w:tr w:rsidR="00650D05" w:rsidRPr="00F136AA" w:rsidTr="00650D05">
        <w:trPr>
          <w:trHeight w:val="1380"/>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p>
        </w:tc>
        <w:tc>
          <w:tcPr>
            <w:tcW w:w="6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附加规定</w:t>
            </w:r>
          </w:p>
        </w:tc>
        <w:tc>
          <w:tcPr>
            <w:tcW w:w="27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（1）连续航行时间不超过16小时可减免三副和水手各1人。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（2）连续航行时间不超过8小时，可再减免二副1人。</w:t>
            </w:r>
          </w:p>
        </w:tc>
        <w:tc>
          <w:tcPr>
            <w:tcW w:w="30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连续航行时间不超过16小时的可减免三副1人。</w:t>
            </w:r>
          </w:p>
        </w:tc>
        <w:tc>
          <w:tcPr>
            <w:tcW w:w="27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连续航行时间不超过8小时的，可减免驾驶员1人。</w:t>
            </w:r>
          </w:p>
        </w:tc>
        <w:tc>
          <w:tcPr>
            <w:tcW w:w="27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连续航行时间超过8小时的，须增加驾驶员1人。</w:t>
            </w:r>
          </w:p>
        </w:tc>
        <w:tc>
          <w:tcPr>
            <w:tcW w:w="150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连续航行时间超过8小时的，须增加驾机员1人。</w:t>
            </w:r>
          </w:p>
        </w:tc>
      </w:tr>
      <w:tr w:rsidR="00650D05" w:rsidRPr="00F136AA" w:rsidTr="00650D05">
        <w:trPr>
          <w:trHeight w:val="675"/>
          <w:tblCellSpacing w:w="0" w:type="dxa"/>
          <w:jc w:val="center"/>
        </w:trPr>
        <w:tc>
          <w:tcPr>
            <w:tcW w:w="510" w:type="dxa"/>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客船</w:t>
            </w:r>
          </w:p>
        </w:tc>
        <w:tc>
          <w:tcPr>
            <w:tcW w:w="6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一般规定</w:t>
            </w:r>
          </w:p>
        </w:tc>
        <w:tc>
          <w:tcPr>
            <w:tcW w:w="27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船长、大副各1人、二副2人、水手3人。</w:t>
            </w:r>
          </w:p>
        </w:tc>
        <w:tc>
          <w:tcPr>
            <w:tcW w:w="30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船长、大副、二副各1人、水手2人。</w:t>
            </w:r>
          </w:p>
        </w:tc>
        <w:tc>
          <w:tcPr>
            <w:tcW w:w="27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船长1人、驾驶员2人、水手1人。</w:t>
            </w:r>
          </w:p>
        </w:tc>
        <w:tc>
          <w:tcPr>
            <w:tcW w:w="27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船长1人，水手1人。</w:t>
            </w:r>
          </w:p>
        </w:tc>
        <w:tc>
          <w:tcPr>
            <w:tcW w:w="150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驾机员1人。</w:t>
            </w:r>
          </w:p>
        </w:tc>
      </w:tr>
      <w:tr w:rsidR="00650D05" w:rsidRPr="00F136AA" w:rsidTr="00650D05">
        <w:trPr>
          <w:trHeight w:val="1380"/>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p>
        </w:tc>
        <w:tc>
          <w:tcPr>
            <w:tcW w:w="6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附加规定</w:t>
            </w:r>
          </w:p>
        </w:tc>
        <w:tc>
          <w:tcPr>
            <w:tcW w:w="27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（1）连续航行时间不超过8小时的可减免二副和水手各1人。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（2）连续航行时间不超过4小时，可再减免二副1人</w:t>
            </w:r>
          </w:p>
        </w:tc>
        <w:tc>
          <w:tcPr>
            <w:tcW w:w="303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连续航行时间不超过8小时的可减免二副1人。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连续航行时间超过16小时，须增加二副、值班水手各1人。</w:t>
            </w:r>
          </w:p>
        </w:tc>
        <w:tc>
          <w:tcPr>
            <w:tcW w:w="274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连续航行时间不超过8小时的可减免驾驶员1人。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 xml:space="preserve">　</w:t>
            </w:r>
          </w:p>
        </w:tc>
        <w:tc>
          <w:tcPr>
            <w:tcW w:w="27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连续航行时间超过4小时的，须增加驾驶员1人</w:t>
            </w:r>
          </w:p>
        </w:tc>
        <w:tc>
          <w:tcPr>
            <w:tcW w:w="150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连续航行时间超过4小时的，须增加驾机员1人</w:t>
            </w:r>
          </w:p>
        </w:tc>
      </w:tr>
    </w:tbl>
    <w:p w:rsidR="00650D05" w:rsidRPr="00F136AA" w:rsidRDefault="00650D05" w:rsidP="00F136AA">
      <w:pPr>
        <w:widowControl/>
        <w:spacing w:beforeLines="0" w:afterLines="0" w:line="300" w:lineRule="exact"/>
        <w:jc w:val="center"/>
        <w:textAlignment w:val="center"/>
        <w:rPr>
          <w:rFonts w:ascii="楷体" w:eastAsia="楷体" w:hAnsi="楷体" w:cs="Arial"/>
          <w:vanish/>
          <w:kern w:val="0"/>
          <w:szCs w:val="21"/>
        </w:rPr>
      </w:pPr>
    </w:p>
    <w:tbl>
      <w:tblPr>
        <w:tblW w:w="49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5"/>
        <w:gridCol w:w="1285"/>
        <w:gridCol w:w="1687"/>
        <w:gridCol w:w="1580"/>
        <w:gridCol w:w="1384"/>
        <w:gridCol w:w="1618"/>
      </w:tblGrid>
      <w:tr w:rsidR="00650D05" w:rsidRPr="00F136AA" w:rsidTr="00650D05">
        <w:trPr>
          <w:trHeight w:val="555"/>
          <w:tblCellSpacing w:w="0" w:type="dxa"/>
          <w:jc w:val="center"/>
        </w:trPr>
        <w:tc>
          <w:tcPr>
            <w:tcW w:w="14295" w:type="dxa"/>
            <w:gridSpan w:val="6"/>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轮机部</w:t>
            </w:r>
          </w:p>
        </w:tc>
      </w:tr>
      <w:tr w:rsidR="00650D05" w:rsidRPr="00F136AA" w:rsidTr="00650D05">
        <w:trPr>
          <w:trHeight w:val="330"/>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船舶等级</w:t>
            </w:r>
          </w:p>
        </w:tc>
        <w:tc>
          <w:tcPr>
            <w:tcW w:w="219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1500千瓦及以上</w:t>
            </w:r>
          </w:p>
        </w:tc>
        <w:tc>
          <w:tcPr>
            <w:tcW w:w="309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441千瓦及以上至未满1500千瓦</w:t>
            </w:r>
          </w:p>
        </w:tc>
        <w:tc>
          <w:tcPr>
            <w:tcW w:w="285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147千瓦及以上至未满441千瓦</w:t>
            </w:r>
          </w:p>
        </w:tc>
        <w:tc>
          <w:tcPr>
            <w:tcW w:w="22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未满147千瓦</w:t>
            </w:r>
          </w:p>
        </w:tc>
        <w:tc>
          <w:tcPr>
            <w:tcW w:w="250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未满50总吨</w:t>
            </w:r>
          </w:p>
        </w:tc>
      </w:tr>
      <w:tr w:rsidR="00650D05" w:rsidRPr="00F136AA" w:rsidTr="00650D05">
        <w:trPr>
          <w:trHeight w:val="975"/>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一般规定</w:t>
            </w:r>
          </w:p>
        </w:tc>
        <w:tc>
          <w:tcPr>
            <w:tcW w:w="219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轮机长、大管轮、二管轮、三管轮各1人、机工3人。</w:t>
            </w:r>
          </w:p>
        </w:tc>
        <w:tc>
          <w:tcPr>
            <w:tcW w:w="309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轮机长1人、二管轮、三管轮各1人、机工2人。</w:t>
            </w:r>
          </w:p>
        </w:tc>
        <w:tc>
          <w:tcPr>
            <w:tcW w:w="285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轮机长1人、轮机员1人、机工1人。</w:t>
            </w:r>
          </w:p>
        </w:tc>
        <w:tc>
          <w:tcPr>
            <w:tcW w:w="22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轮机员(机驾合一的，为机工)1人。</w:t>
            </w:r>
          </w:p>
        </w:tc>
        <w:tc>
          <w:tcPr>
            <w:tcW w:w="250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驾机员1人（机驾合一的可免）。</w:t>
            </w:r>
          </w:p>
        </w:tc>
      </w:tr>
      <w:tr w:rsidR="00650D05" w:rsidRPr="00F136AA" w:rsidTr="00650D05">
        <w:trPr>
          <w:trHeight w:val="3105"/>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lastRenderedPageBreak/>
              <w:t>附加规定</w:t>
            </w:r>
          </w:p>
        </w:tc>
        <w:tc>
          <w:tcPr>
            <w:tcW w:w="219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（1）连续航行时间不超过16小时的可减免三管轮和机工各1人。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（2）连续航行时间不超过8小时可再减免二管轮1人。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（3）自动化机舱可减免二管轮、三管轮各1人、机工3人。</w:t>
            </w:r>
          </w:p>
        </w:tc>
        <w:tc>
          <w:tcPr>
            <w:tcW w:w="309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（1）连续航行时间不超过16小时的可减免三管轮和机工各1人。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（2）自动化机舱可减免三管轮1人、机工2人。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 xml:space="preserve">　</w:t>
            </w:r>
          </w:p>
        </w:tc>
        <w:tc>
          <w:tcPr>
            <w:tcW w:w="285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（1）连续航行时间不超过8小时的可减免轮机员1人。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（2）连续航行时间不超过4小时的可再减免机工1人。</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（3）机驾合一的可减免轮机员1人。</w:t>
            </w:r>
          </w:p>
        </w:tc>
        <w:tc>
          <w:tcPr>
            <w:tcW w:w="22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连续航行时间超过4小时的，须增加轮机员1人（机驾合一的免）。</w:t>
            </w:r>
          </w:p>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楷体" w:eastAsia="楷体" w:hAnsi="楷体" w:cs="Arial"/>
                <w:kern w:val="0"/>
                <w:szCs w:val="21"/>
              </w:rPr>
              <w:t xml:space="preserve">　</w:t>
            </w:r>
          </w:p>
        </w:tc>
        <w:tc>
          <w:tcPr>
            <w:tcW w:w="250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650D05" w:rsidRPr="00F136AA" w:rsidRDefault="00650D05" w:rsidP="00F136AA">
            <w:pPr>
              <w:widowControl/>
              <w:spacing w:beforeLines="0" w:afterLines="0" w:line="300" w:lineRule="exact"/>
              <w:jc w:val="left"/>
              <w:rPr>
                <w:rFonts w:ascii="楷体" w:eastAsia="楷体" w:hAnsi="楷体" w:cs="Arial"/>
                <w:kern w:val="0"/>
                <w:szCs w:val="21"/>
              </w:rPr>
            </w:pPr>
            <w:r w:rsidRPr="00F136AA">
              <w:rPr>
                <w:rFonts w:ascii="Arial" w:eastAsia="楷体" w:hAnsi="Arial" w:cs="Arial"/>
                <w:kern w:val="0"/>
                <w:szCs w:val="21"/>
              </w:rPr>
              <w:t> </w:t>
            </w:r>
          </w:p>
        </w:tc>
      </w:tr>
      <w:tr w:rsidR="00650D05" w:rsidRPr="00F136AA" w:rsidTr="00650D05">
        <w:trPr>
          <w:trHeight w:val="285"/>
          <w:tblCellSpacing w:w="0" w:type="dxa"/>
          <w:jc w:val="center"/>
        </w:trPr>
        <w:tc>
          <w:tcPr>
            <w:tcW w:w="14295" w:type="dxa"/>
            <w:gridSpan w:val="6"/>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客运部</w:t>
            </w:r>
          </w:p>
        </w:tc>
      </w:tr>
      <w:tr w:rsidR="00650D05" w:rsidRPr="00F136AA" w:rsidTr="00650D05">
        <w:trPr>
          <w:trHeight w:val="1035"/>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客船</w:t>
            </w:r>
          </w:p>
        </w:tc>
        <w:tc>
          <w:tcPr>
            <w:tcW w:w="13155" w:type="dxa"/>
            <w:gridSpan w:val="5"/>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50D05" w:rsidRPr="00F136AA" w:rsidRDefault="00650D05" w:rsidP="00F136AA">
            <w:pPr>
              <w:widowControl/>
              <w:spacing w:beforeLines="0" w:afterLines="0" w:line="300" w:lineRule="exact"/>
              <w:jc w:val="center"/>
              <w:rPr>
                <w:rFonts w:ascii="楷体" w:eastAsia="楷体" w:hAnsi="楷体" w:cs="Arial"/>
                <w:kern w:val="0"/>
                <w:szCs w:val="21"/>
              </w:rPr>
            </w:pPr>
            <w:r w:rsidRPr="00F136AA">
              <w:rPr>
                <w:rFonts w:ascii="楷体" w:eastAsia="楷体" w:hAnsi="楷体" w:cs="Arial"/>
                <w:kern w:val="0"/>
                <w:szCs w:val="21"/>
              </w:rPr>
              <w:t>按船舶载客定额,每50名乘客配客运部人员1名；航程不超过80公里或航行时间不超过4小时的,可按每100名乘客配客运部人员1名；航程不超过20公里或航行时间不超过1小时的,可按每150名乘客配客运部人员1名；航程不超过10公里或航行时间不超过0.5小时的,可按每200名乘客配客运部人员1名；航程不超过5公里或航行时间不超过0.5小时，且载客定额不足50名的，可不配客运部人员。</w:t>
            </w:r>
          </w:p>
        </w:tc>
      </w:tr>
    </w:tbl>
    <w:p w:rsidR="00F136AA" w:rsidRDefault="00650D05" w:rsidP="00F136AA">
      <w:pPr>
        <w:widowControl/>
        <w:spacing w:beforeLines="0" w:afterLines="0" w:line="300" w:lineRule="exact"/>
        <w:ind w:firstLine="405"/>
        <w:jc w:val="left"/>
        <w:textAlignment w:val="center"/>
        <w:rPr>
          <w:rFonts w:ascii="楷体" w:eastAsia="楷体" w:hAnsi="楷体" w:cs="Arial"/>
          <w:kern w:val="0"/>
          <w:szCs w:val="21"/>
        </w:rPr>
      </w:pPr>
      <w:r w:rsidRPr="00F136AA">
        <w:rPr>
          <w:rFonts w:ascii="楷体" w:eastAsia="楷体" w:hAnsi="楷体" w:cs="Arial"/>
          <w:kern w:val="0"/>
          <w:szCs w:val="21"/>
        </w:rPr>
        <w:t>注：1.客运部人员包括乘警、船医、厨工及旅客服务员。</w:t>
      </w:r>
    </w:p>
    <w:p w:rsidR="00F136AA" w:rsidRDefault="00650D05" w:rsidP="00F136AA">
      <w:pPr>
        <w:widowControl/>
        <w:spacing w:beforeLines="0" w:afterLines="0" w:line="300" w:lineRule="exact"/>
        <w:ind w:leftChars="50" w:left="1050" w:hangingChars="450" w:hanging="945"/>
        <w:jc w:val="left"/>
        <w:textAlignment w:val="center"/>
        <w:rPr>
          <w:rFonts w:ascii="楷体" w:eastAsia="楷体" w:hAnsi="楷体" w:cs="Arial"/>
          <w:kern w:val="0"/>
          <w:szCs w:val="21"/>
        </w:rPr>
      </w:pPr>
      <w:r w:rsidRPr="00F136AA">
        <w:rPr>
          <w:rFonts w:ascii="楷体" w:eastAsia="楷体" w:hAnsi="楷体" w:cs="Arial"/>
          <w:kern w:val="0"/>
          <w:szCs w:val="21"/>
        </w:rPr>
        <w:t xml:space="preserve">　　</w:t>
      </w:r>
      <w:r w:rsidR="00F136AA">
        <w:rPr>
          <w:rFonts w:ascii="楷体" w:eastAsia="楷体" w:hAnsi="楷体" w:cs="Arial" w:hint="eastAsia"/>
          <w:kern w:val="0"/>
          <w:szCs w:val="21"/>
        </w:rPr>
        <w:t xml:space="preserve">   </w:t>
      </w:r>
      <w:r w:rsidRPr="00F136AA">
        <w:rPr>
          <w:rFonts w:ascii="楷体" w:eastAsia="楷体" w:hAnsi="楷体" w:cs="Arial"/>
          <w:kern w:val="0"/>
          <w:szCs w:val="21"/>
        </w:rPr>
        <w:t>2.200总吨及以上至未满600总吨或147千瓦及以上至未满441千瓦的港内作业船舶或航行时间不超过30分钟的对江渡船，可配备驾驶员、轮机员各1人、水手2人、机工1人。</w:t>
      </w:r>
    </w:p>
    <w:p w:rsidR="00F136AA" w:rsidRDefault="00650D05" w:rsidP="00F136AA">
      <w:pPr>
        <w:widowControl/>
        <w:spacing w:beforeLines="0" w:afterLines="0" w:line="300" w:lineRule="exact"/>
        <w:ind w:leftChars="50" w:left="1050" w:hangingChars="450" w:hanging="945"/>
        <w:jc w:val="left"/>
        <w:textAlignment w:val="center"/>
        <w:rPr>
          <w:rFonts w:ascii="楷体" w:eastAsia="楷体" w:hAnsi="楷体" w:cs="Arial"/>
          <w:kern w:val="0"/>
          <w:szCs w:val="21"/>
        </w:rPr>
      </w:pPr>
      <w:r w:rsidRPr="00F136AA">
        <w:rPr>
          <w:rFonts w:ascii="楷体" w:eastAsia="楷体" w:hAnsi="楷体" w:cs="Arial"/>
          <w:kern w:val="0"/>
          <w:szCs w:val="21"/>
        </w:rPr>
        <w:t xml:space="preserve">　　</w:t>
      </w:r>
      <w:r w:rsidR="00F136AA">
        <w:rPr>
          <w:rFonts w:ascii="楷体" w:eastAsia="楷体" w:hAnsi="楷体" w:cs="Arial" w:hint="eastAsia"/>
          <w:kern w:val="0"/>
          <w:szCs w:val="21"/>
        </w:rPr>
        <w:t xml:space="preserve">   </w:t>
      </w:r>
      <w:r w:rsidRPr="00F136AA">
        <w:rPr>
          <w:rFonts w:ascii="楷体" w:eastAsia="楷体" w:hAnsi="楷体" w:cs="Arial"/>
          <w:kern w:val="0"/>
          <w:szCs w:val="21"/>
        </w:rPr>
        <w:t>3.轮机部可按航行时间减免，或按机舱自动化程度减免，但不应按航行时间和机舱自动化程度同时减免。</w:t>
      </w:r>
    </w:p>
    <w:p w:rsidR="00F136AA" w:rsidRDefault="00650D05" w:rsidP="00F136AA">
      <w:pPr>
        <w:widowControl/>
        <w:spacing w:beforeLines="0" w:afterLines="0" w:line="300" w:lineRule="exact"/>
        <w:ind w:leftChars="200" w:left="1050" w:hangingChars="300" w:hanging="630"/>
        <w:jc w:val="left"/>
        <w:textAlignment w:val="center"/>
        <w:rPr>
          <w:rFonts w:ascii="楷体" w:eastAsia="楷体" w:hAnsi="楷体" w:cs="Arial"/>
          <w:kern w:val="0"/>
          <w:szCs w:val="21"/>
        </w:rPr>
      </w:pPr>
      <w:r w:rsidRPr="00F136AA">
        <w:rPr>
          <w:rFonts w:ascii="楷体" w:eastAsia="楷体" w:hAnsi="楷体" w:cs="Arial"/>
          <w:kern w:val="0"/>
          <w:szCs w:val="21"/>
        </w:rPr>
        <w:t xml:space="preserve">　　4.拖轮等没有核定总吨的船舶，按主推进动力装置功率确定等级。</w:t>
      </w:r>
    </w:p>
    <w:p w:rsidR="00F136AA" w:rsidRDefault="00650D05" w:rsidP="00F136AA">
      <w:pPr>
        <w:widowControl/>
        <w:spacing w:beforeLines="0" w:afterLines="0" w:line="300" w:lineRule="exact"/>
        <w:ind w:leftChars="200" w:left="1050" w:hangingChars="300" w:hanging="630"/>
        <w:jc w:val="left"/>
        <w:textAlignment w:val="center"/>
        <w:rPr>
          <w:rFonts w:ascii="楷体" w:eastAsia="楷体" w:hAnsi="楷体" w:cs="Arial"/>
          <w:kern w:val="0"/>
          <w:szCs w:val="21"/>
        </w:rPr>
      </w:pPr>
      <w:r w:rsidRPr="00F136AA">
        <w:rPr>
          <w:rFonts w:ascii="楷体" w:eastAsia="楷体" w:hAnsi="楷体" w:cs="Arial"/>
          <w:kern w:val="0"/>
          <w:szCs w:val="21"/>
        </w:rPr>
        <w:t xml:space="preserve">　　5.废钢船需航行时按其报废前最后一次检验时所核定的船舶种类及相关参数核定配员，不适用减免规定。</w:t>
      </w:r>
    </w:p>
    <w:p w:rsidR="00F136AA" w:rsidRDefault="00650D05" w:rsidP="00F136AA">
      <w:pPr>
        <w:widowControl/>
        <w:spacing w:beforeLines="0" w:afterLines="0" w:line="300" w:lineRule="exact"/>
        <w:ind w:leftChars="200" w:left="1050" w:hangingChars="300" w:hanging="630"/>
        <w:jc w:val="left"/>
        <w:textAlignment w:val="center"/>
        <w:rPr>
          <w:rFonts w:ascii="楷体" w:eastAsia="楷体" w:hAnsi="楷体" w:cs="Arial"/>
          <w:kern w:val="0"/>
          <w:szCs w:val="21"/>
        </w:rPr>
      </w:pPr>
      <w:r w:rsidRPr="00F136AA">
        <w:rPr>
          <w:rFonts w:ascii="楷体" w:eastAsia="楷体" w:hAnsi="楷体" w:cs="Arial"/>
          <w:kern w:val="0"/>
          <w:szCs w:val="21"/>
        </w:rPr>
        <w:t xml:space="preserve">　　6.低级岗位可由持有相应等级适任证书的较高级岗位船员担任，也可由持有较高等级适任证书的同级岗位船员担任。</w:t>
      </w:r>
    </w:p>
    <w:p w:rsidR="00F136AA" w:rsidRDefault="00650D05" w:rsidP="00F136AA">
      <w:pPr>
        <w:widowControl/>
        <w:spacing w:beforeLines="0" w:afterLines="0" w:line="300" w:lineRule="exact"/>
        <w:ind w:leftChars="200" w:left="1050" w:hangingChars="300" w:hanging="630"/>
        <w:jc w:val="left"/>
        <w:textAlignment w:val="center"/>
        <w:rPr>
          <w:rFonts w:ascii="楷体" w:eastAsia="楷体" w:hAnsi="楷体" w:cs="Arial"/>
          <w:kern w:val="0"/>
          <w:szCs w:val="21"/>
        </w:rPr>
      </w:pPr>
      <w:r w:rsidRPr="00F136AA">
        <w:rPr>
          <w:rFonts w:ascii="楷体" w:eastAsia="楷体" w:hAnsi="楷体" w:cs="Arial"/>
          <w:kern w:val="0"/>
          <w:szCs w:val="21"/>
        </w:rPr>
        <w:t xml:space="preserve">　　7.船舶在中途港或水上作业点停留时间不超过2小时的，计入连续航行时间。</w:t>
      </w:r>
    </w:p>
    <w:p w:rsidR="00F136AA" w:rsidRDefault="00650D05" w:rsidP="00F136AA">
      <w:pPr>
        <w:widowControl/>
        <w:spacing w:beforeLines="0" w:afterLines="0" w:line="300" w:lineRule="exact"/>
        <w:ind w:leftChars="200" w:left="1050" w:hangingChars="300" w:hanging="630"/>
        <w:jc w:val="left"/>
        <w:textAlignment w:val="center"/>
        <w:rPr>
          <w:rFonts w:ascii="楷体" w:eastAsia="楷体" w:hAnsi="楷体" w:cs="Arial"/>
          <w:kern w:val="0"/>
          <w:szCs w:val="21"/>
        </w:rPr>
      </w:pPr>
      <w:r w:rsidRPr="00F136AA">
        <w:rPr>
          <w:rFonts w:ascii="楷体" w:eastAsia="楷体" w:hAnsi="楷体" w:cs="Arial"/>
          <w:kern w:val="0"/>
          <w:szCs w:val="21"/>
        </w:rPr>
        <w:t xml:space="preserve">　　8.未满50总吨且主机功率未满75千瓦的载客不超过12人的船艇（包括游艇、摩托艇、快艇、交通艇、舷外挂机船舶、乡镇自用船舶、农用船舶），可只配驾驶员或驾机员1名。</w:t>
      </w:r>
    </w:p>
    <w:p w:rsidR="007D197E" w:rsidRPr="00F136AA" w:rsidRDefault="00650D05" w:rsidP="00F136AA">
      <w:pPr>
        <w:widowControl/>
        <w:spacing w:beforeLines="0" w:afterLines="0" w:line="300" w:lineRule="exact"/>
        <w:ind w:leftChars="200" w:left="1050" w:hangingChars="300" w:hanging="630"/>
        <w:jc w:val="left"/>
        <w:textAlignment w:val="center"/>
        <w:rPr>
          <w:rFonts w:ascii="楷体" w:eastAsia="楷体" w:hAnsi="楷体"/>
          <w:szCs w:val="21"/>
        </w:rPr>
      </w:pPr>
      <w:r w:rsidRPr="00F136AA">
        <w:rPr>
          <w:rFonts w:ascii="楷体" w:eastAsia="楷体" w:hAnsi="楷体" w:cs="Arial"/>
          <w:kern w:val="0"/>
          <w:szCs w:val="21"/>
        </w:rPr>
        <w:t xml:space="preserve">　　9.机驾合一指在驾驶室能直接操纵主机。</w:t>
      </w:r>
    </w:p>
    <w:sectPr w:rsidR="007D197E" w:rsidRPr="00F136AA" w:rsidSect="007D19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343" w:rsidRDefault="00BB5343" w:rsidP="00F136AA">
      <w:pPr>
        <w:spacing w:before="120" w:after="120" w:line="240" w:lineRule="auto"/>
      </w:pPr>
      <w:r>
        <w:separator/>
      </w:r>
    </w:p>
  </w:endnote>
  <w:endnote w:type="continuationSeparator" w:id="1">
    <w:p w:rsidR="00BB5343" w:rsidRDefault="00BB5343" w:rsidP="00F136AA">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A" w:rsidRDefault="00F136AA" w:rsidP="00F136AA">
    <w:pPr>
      <w:pStyle w:val="a7"/>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A" w:rsidRDefault="00F136AA" w:rsidP="00F136AA">
    <w:pPr>
      <w:pStyle w:val="a7"/>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A" w:rsidRDefault="00F136AA" w:rsidP="00F136AA">
    <w:pPr>
      <w:pStyle w:val="a7"/>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343" w:rsidRDefault="00BB5343" w:rsidP="00F136AA">
      <w:pPr>
        <w:spacing w:before="120" w:after="120" w:line="240" w:lineRule="auto"/>
      </w:pPr>
      <w:r>
        <w:separator/>
      </w:r>
    </w:p>
  </w:footnote>
  <w:footnote w:type="continuationSeparator" w:id="1">
    <w:p w:rsidR="00BB5343" w:rsidRDefault="00BB5343" w:rsidP="00F136AA">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A" w:rsidRDefault="00F136AA" w:rsidP="00F136AA">
    <w:pPr>
      <w:pStyle w:val="a6"/>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A" w:rsidRPr="00F136AA" w:rsidRDefault="00F136AA" w:rsidP="00F136AA">
    <w:pP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A" w:rsidRDefault="00F136AA" w:rsidP="00F136AA">
    <w:pPr>
      <w:pStyle w:val="a6"/>
      <w:spacing w:before="120"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D05"/>
    <w:rsid w:val="000654AE"/>
    <w:rsid w:val="00071E2E"/>
    <w:rsid w:val="00253DF0"/>
    <w:rsid w:val="002F6F26"/>
    <w:rsid w:val="00472758"/>
    <w:rsid w:val="004C18FD"/>
    <w:rsid w:val="005D6895"/>
    <w:rsid w:val="00650D05"/>
    <w:rsid w:val="007D197E"/>
    <w:rsid w:val="007F767D"/>
    <w:rsid w:val="009E483D"/>
    <w:rsid w:val="00B10A1D"/>
    <w:rsid w:val="00BB5343"/>
    <w:rsid w:val="00BC6723"/>
    <w:rsid w:val="00CB4054"/>
    <w:rsid w:val="00F13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D05"/>
    <w:rPr>
      <w:strike w:val="0"/>
      <w:dstrike w:val="0"/>
      <w:color w:val="3B5998"/>
      <w:u w:val="none"/>
      <w:effect w:val="none"/>
    </w:rPr>
  </w:style>
  <w:style w:type="paragraph" w:styleId="a4">
    <w:name w:val="Normal (Web)"/>
    <w:basedOn w:val="a"/>
    <w:uiPriority w:val="99"/>
    <w:unhideWhenUsed/>
    <w:rsid w:val="00650D05"/>
    <w:pPr>
      <w:widowControl/>
      <w:spacing w:beforeLines="0" w:beforeAutospacing="1" w:afterLines="0" w:afterAutospacing="1" w:line="240" w:lineRule="auto"/>
      <w:jc w:val="left"/>
    </w:pPr>
    <w:rPr>
      <w:rFonts w:ascii="宋体" w:eastAsia="宋体" w:hAnsi="宋体" w:cs="宋体"/>
      <w:kern w:val="0"/>
      <w:sz w:val="24"/>
      <w:szCs w:val="24"/>
    </w:rPr>
  </w:style>
  <w:style w:type="character" w:styleId="a5">
    <w:name w:val="Strong"/>
    <w:basedOn w:val="a0"/>
    <w:uiPriority w:val="22"/>
    <w:qFormat/>
    <w:rsid w:val="00650D05"/>
    <w:rPr>
      <w:b/>
      <w:bCs/>
    </w:rPr>
  </w:style>
  <w:style w:type="paragraph" w:styleId="a6">
    <w:name w:val="header"/>
    <w:basedOn w:val="a"/>
    <w:link w:val="Char"/>
    <w:uiPriority w:val="99"/>
    <w:semiHidden/>
    <w:unhideWhenUsed/>
    <w:rsid w:val="00F136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F136AA"/>
    <w:rPr>
      <w:sz w:val="18"/>
      <w:szCs w:val="18"/>
    </w:rPr>
  </w:style>
  <w:style w:type="paragraph" w:styleId="a7">
    <w:name w:val="footer"/>
    <w:basedOn w:val="a"/>
    <w:link w:val="Char0"/>
    <w:uiPriority w:val="99"/>
    <w:semiHidden/>
    <w:unhideWhenUsed/>
    <w:rsid w:val="00F136AA"/>
    <w:pPr>
      <w:tabs>
        <w:tab w:val="center" w:pos="4153"/>
        <w:tab w:val="right" w:pos="8306"/>
      </w:tabs>
      <w:snapToGrid w:val="0"/>
      <w:spacing w:line="240" w:lineRule="auto"/>
      <w:jc w:val="left"/>
    </w:pPr>
    <w:rPr>
      <w:sz w:val="18"/>
      <w:szCs w:val="18"/>
    </w:rPr>
  </w:style>
  <w:style w:type="character" w:customStyle="1" w:styleId="Char0">
    <w:name w:val="页脚 Char"/>
    <w:basedOn w:val="a0"/>
    <w:link w:val="a7"/>
    <w:uiPriority w:val="99"/>
    <w:semiHidden/>
    <w:rsid w:val="00F136AA"/>
    <w:rPr>
      <w:sz w:val="18"/>
      <w:szCs w:val="18"/>
    </w:rPr>
  </w:style>
</w:styles>
</file>

<file path=word/webSettings.xml><?xml version="1.0" encoding="utf-8"?>
<w:webSettings xmlns:r="http://schemas.openxmlformats.org/officeDocument/2006/relationships" xmlns:w="http://schemas.openxmlformats.org/wordprocessingml/2006/main">
  <w:divs>
    <w:div w:id="2082750733">
      <w:bodyDiv w:val="1"/>
      <w:marLeft w:val="0"/>
      <w:marRight w:val="0"/>
      <w:marTop w:val="0"/>
      <w:marBottom w:val="0"/>
      <w:divBdr>
        <w:top w:val="none" w:sz="0" w:space="0" w:color="auto"/>
        <w:left w:val="none" w:sz="0" w:space="0" w:color="auto"/>
        <w:bottom w:val="none" w:sz="0" w:space="0" w:color="auto"/>
        <w:right w:val="none" w:sz="0" w:space="0" w:color="auto"/>
      </w:divBdr>
      <w:divsChild>
        <w:div w:id="1453861824">
          <w:marLeft w:val="0"/>
          <w:marRight w:val="0"/>
          <w:marTop w:val="0"/>
          <w:marBottom w:val="0"/>
          <w:divBdr>
            <w:top w:val="none" w:sz="0" w:space="0" w:color="auto"/>
            <w:left w:val="none" w:sz="0" w:space="0" w:color="auto"/>
            <w:bottom w:val="none" w:sz="0" w:space="0" w:color="auto"/>
            <w:right w:val="none" w:sz="0" w:space="0" w:color="auto"/>
          </w:divBdr>
          <w:divsChild>
            <w:div w:id="1106577614">
              <w:marLeft w:val="0"/>
              <w:marRight w:val="0"/>
              <w:marTop w:val="0"/>
              <w:marBottom w:val="0"/>
              <w:divBdr>
                <w:top w:val="none" w:sz="0" w:space="0" w:color="auto"/>
                <w:left w:val="none" w:sz="0" w:space="0" w:color="auto"/>
                <w:bottom w:val="none" w:sz="0" w:space="0" w:color="auto"/>
                <w:right w:val="none" w:sz="0" w:space="0" w:color="auto"/>
              </w:divBdr>
              <w:divsChild>
                <w:div w:id="18887616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FL('g000003270',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WFL('g00000327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D12E5-958C-45F9-9DBB-557750EE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顾海钧</dc:creator>
  <cp:lastModifiedBy>沈浩</cp:lastModifiedBy>
  <cp:revision>4</cp:revision>
  <dcterms:created xsi:type="dcterms:W3CDTF">2014-01-07T07:55:00Z</dcterms:created>
  <dcterms:modified xsi:type="dcterms:W3CDTF">2017-05-11T05:17:00Z</dcterms:modified>
</cp:coreProperties>
</file>