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tabs>
          <w:tab w:val="right" w:leader="dot" w:pos="8306"/>
        </w:tabs>
      </w:pPr>
    </w:p>
    <w:p>
      <w:pPr>
        <w:spacing w:before="0" w:beforeLines="0" w:after="0" w:afterLines="0" w:line="240" w:lineRule="auto"/>
        <w:ind w:left="0" w:leftChars="0" w:right="0" w:rightChars="0" w:firstLine="0" w:firstLineChars="0"/>
        <w:jc w:val="center"/>
        <w:rPr>
          <w:rFonts w:hint="eastAsia" w:ascii="宋体" w:hAnsi="宋体" w:eastAsia="宋体"/>
          <w:b/>
          <w:bCs/>
          <w:sz w:val="52"/>
          <w:szCs w:val="72"/>
          <w:lang w:eastAsia="zh-CN"/>
        </w:rPr>
      </w:pPr>
    </w:p>
    <w:p>
      <w:pPr>
        <w:spacing w:before="0" w:beforeLines="0" w:after="0" w:afterLines="0" w:line="240" w:lineRule="auto"/>
        <w:ind w:left="0" w:leftChars="0" w:right="0" w:rightChars="0" w:firstLine="0" w:firstLineChars="0"/>
        <w:jc w:val="center"/>
        <w:rPr>
          <w:rFonts w:hint="eastAsia" w:ascii="宋体" w:hAnsi="宋体" w:eastAsia="宋体"/>
          <w:b/>
          <w:bCs/>
          <w:sz w:val="52"/>
          <w:szCs w:val="72"/>
          <w:lang w:eastAsia="zh-CN"/>
        </w:rPr>
      </w:pPr>
    </w:p>
    <w:p>
      <w:pPr>
        <w:spacing w:before="0" w:beforeLines="0" w:after="0" w:afterLines="0" w:line="240" w:lineRule="auto"/>
        <w:ind w:left="0" w:leftChars="0" w:right="0" w:rightChars="0" w:firstLine="0" w:firstLineChars="0"/>
        <w:jc w:val="center"/>
        <w:rPr>
          <w:rFonts w:hint="eastAsia" w:ascii="宋体" w:hAnsi="宋体" w:eastAsia="宋体"/>
          <w:b/>
          <w:bCs/>
          <w:sz w:val="52"/>
          <w:szCs w:val="72"/>
          <w:lang w:eastAsia="zh-CN"/>
        </w:rPr>
      </w:pPr>
    </w:p>
    <w:p>
      <w:pPr>
        <w:spacing w:before="0" w:beforeLines="0" w:after="0" w:afterLines="0" w:line="240" w:lineRule="auto"/>
        <w:ind w:left="0" w:leftChars="0" w:right="0" w:rightChars="0" w:firstLine="0" w:firstLineChars="0"/>
        <w:jc w:val="center"/>
        <w:rPr>
          <w:rFonts w:hint="eastAsia" w:ascii="宋体" w:hAnsi="宋体" w:eastAsia="宋体"/>
          <w:b/>
          <w:bCs/>
          <w:sz w:val="52"/>
          <w:szCs w:val="72"/>
          <w:lang w:eastAsia="zh-CN"/>
        </w:rPr>
      </w:pPr>
      <w:r>
        <w:rPr>
          <w:rFonts w:hint="eastAsia" w:ascii="宋体" w:hAnsi="宋体" w:eastAsia="宋体"/>
          <w:b/>
          <w:bCs/>
          <w:sz w:val="52"/>
          <w:szCs w:val="72"/>
          <w:lang w:eastAsia="zh-CN"/>
        </w:rPr>
        <w:t>中华人民共和国秦皇岛海事局</w:t>
      </w:r>
    </w:p>
    <w:p>
      <w:pPr>
        <w:pStyle w:val="2"/>
        <w:jc w:val="center"/>
        <w:rPr>
          <w:rFonts w:hint="eastAsia" w:ascii="宋体" w:hAnsi="宋体" w:eastAsia="宋体"/>
          <w:b/>
          <w:bCs/>
          <w:sz w:val="52"/>
          <w:szCs w:val="72"/>
          <w:lang w:eastAsia="zh-CN"/>
        </w:rPr>
      </w:pPr>
    </w:p>
    <w:p>
      <w:pPr>
        <w:jc w:val="center"/>
        <w:rPr>
          <w:rFonts w:hint="eastAsia"/>
          <w:sz w:val="40"/>
          <w:szCs w:val="32"/>
          <w:lang w:eastAsia="zh-CN"/>
        </w:rPr>
      </w:pPr>
    </w:p>
    <w:p>
      <w:pPr>
        <w:spacing w:before="0" w:beforeLines="0" w:after="0" w:afterLines="0" w:line="240" w:lineRule="auto"/>
        <w:ind w:left="0" w:leftChars="0" w:right="0" w:rightChars="0" w:firstLine="0" w:firstLineChars="0"/>
        <w:jc w:val="center"/>
        <w:rPr>
          <w:rFonts w:hint="eastAsia" w:ascii="宋体" w:hAnsi="宋体" w:eastAsia="宋体"/>
          <w:b/>
          <w:bCs/>
          <w:sz w:val="52"/>
          <w:szCs w:val="72"/>
          <w:lang w:val="en-US" w:eastAsia="zh-CN"/>
        </w:rPr>
      </w:pPr>
      <w:r>
        <w:rPr>
          <w:rFonts w:hint="eastAsia" w:ascii="宋体" w:hAnsi="宋体" w:eastAsia="宋体"/>
          <w:b/>
          <w:bCs/>
          <w:sz w:val="52"/>
          <w:szCs w:val="72"/>
          <w:lang w:val="en-US" w:eastAsia="zh-CN"/>
        </w:rPr>
        <w:t>2025年度部门预算公开</w:t>
      </w:r>
    </w:p>
    <w:p>
      <w:pPr>
        <w:pStyle w:val="2"/>
        <w:jc w:val="center"/>
        <w:rPr>
          <w:rFonts w:hint="eastAsia" w:ascii="宋体" w:hAnsi="宋体" w:eastAsia="宋体"/>
          <w:b/>
          <w:bCs/>
          <w:sz w:val="52"/>
          <w:szCs w:val="72"/>
          <w:lang w:val="en-US" w:eastAsia="zh-CN"/>
        </w:rPr>
      </w:pPr>
    </w:p>
    <w:p>
      <w:pPr>
        <w:rPr>
          <w:rFonts w:hint="eastAsia" w:ascii="宋体" w:hAnsi="宋体" w:eastAsia="宋体"/>
          <w:b/>
          <w:bCs/>
          <w:sz w:val="52"/>
          <w:szCs w:val="72"/>
          <w:lang w:val="en-US" w:eastAsia="zh-CN"/>
        </w:rPr>
      </w:pPr>
    </w:p>
    <w:p>
      <w:pPr>
        <w:pStyle w:val="2"/>
        <w:rPr>
          <w:rFonts w:hint="eastAsia" w:ascii="宋体" w:hAnsi="宋体" w:eastAsia="宋体"/>
          <w:b/>
          <w:bCs/>
          <w:sz w:val="52"/>
          <w:szCs w:val="72"/>
          <w:lang w:val="en-US" w:eastAsia="zh-CN"/>
        </w:rPr>
      </w:pPr>
    </w:p>
    <w:p>
      <w:pPr>
        <w:rPr>
          <w:rFonts w:hint="eastAsia" w:ascii="宋体" w:hAnsi="宋体" w:eastAsia="宋体"/>
          <w:b/>
          <w:bCs/>
          <w:sz w:val="52"/>
          <w:szCs w:val="72"/>
          <w:lang w:val="en-US" w:eastAsia="zh-CN"/>
        </w:rPr>
      </w:pPr>
    </w:p>
    <w:p>
      <w:pPr>
        <w:pStyle w:val="2"/>
        <w:rPr>
          <w:rFonts w:hint="eastAsia" w:ascii="宋体" w:hAnsi="宋体" w:eastAsia="宋体"/>
          <w:b/>
          <w:bCs/>
          <w:sz w:val="52"/>
          <w:szCs w:val="72"/>
          <w:lang w:val="en-US" w:eastAsia="zh-CN"/>
        </w:rPr>
      </w:pPr>
    </w:p>
    <w:p>
      <w:pPr>
        <w:rPr>
          <w:rFonts w:hint="eastAsia" w:ascii="宋体" w:hAnsi="宋体" w:eastAsia="宋体"/>
          <w:b/>
          <w:bCs/>
          <w:sz w:val="52"/>
          <w:szCs w:val="72"/>
          <w:lang w:val="en-US" w:eastAsia="zh-CN"/>
        </w:rPr>
      </w:pPr>
    </w:p>
    <w:p>
      <w:pPr>
        <w:pStyle w:val="2"/>
        <w:jc w:val="center"/>
        <w:rPr>
          <w:rFonts w:hint="eastAsia" w:ascii="宋体" w:hAnsi="宋体" w:eastAsia="宋体"/>
          <w:b/>
          <w:bCs/>
          <w:sz w:val="52"/>
          <w:szCs w:val="72"/>
          <w:lang w:val="en-US" w:eastAsia="zh-CN"/>
        </w:rPr>
      </w:pPr>
    </w:p>
    <w:p>
      <w:pPr>
        <w:jc w:val="center"/>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b/>
          <w:bCs/>
          <w:sz w:val="52"/>
          <w:szCs w:val="72"/>
          <w:lang w:val="en-US" w:eastAsia="zh-CN"/>
        </w:rPr>
        <w:t>2025年4月</w:t>
      </w:r>
    </w:p>
    <w:sdt>
      <w:sdtPr>
        <w:rPr>
          <w:rFonts w:ascii="宋体" w:hAnsi="宋体" w:eastAsia="宋体" w:cstheme="minorBidi"/>
          <w:kern w:val="2"/>
          <w:sz w:val="21"/>
          <w:szCs w:val="24"/>
          <w:lang w:val="en-US" w:eastAsia="zh-CN" w:bidi="ar-SA"/>
        </w:rPr>
        <w:id w:val="575877519"/>
        <w:docPartObj>
          <w:docPartGallery w:val="Table of Contents"/>
          <w:docPartUnique/>
        </w:docPartObj>
      </w:sdtPr>
      <w:sdtEndPr>
        <w:rPr>
          <w:rFonts w:ascii="宋体" w:hAnsi="宋体" w:eastAsia="宋体" w:cstheme="minorBidi"/>
          <w:b/>
          <w:bCs/>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sz w:val="36"/>
              <w:szCs w:val="28"/>
            </w:rPr>
          </w:pPr>
          <w:bookmarkStart w:id="0" w:name="_Toc670726553_WPSOffice_Type2"/>
          <w:r>
            <w:rPr>
              <w:rFonts w:ascii="宋体" w:hAnsi="宋体" w:eastAsia="宋体"/>
              <w:sz w:val="22"/>
              <w:szCs w:val="28"/>
            </w:rPr>
            <w:t>目录</w:t>
          </w:r>
        </w:p>
        <w:p>
          <w:pPr>
            <w:pStyle w:val="16"/>
            <w:tabs>
              <w:tab w:val="right" w:leader="dot" w:pos="8306"/>
            </w:tabs>
            <w:rPr>
              <w:sz w:val="21"/>
              <w:szCs w:val="21"/>
            </w:rPr>
          </w:pPr>
          <w:r>
            <w:rPr>
              <w:b/>
              <w:bCs/>
              <w:sz w:val="21"/>
              <w:szCs w:val="21"/>
            </w:rPr>
            <w:fldChar w:fldCharType="begin"/>
          </w:r>
          <w:r>
            <w:rPr>
              <w:sz w:val="21"/>
              <w:szCs w:val="21"/>
            </w:rPr>
            <w:instrText xml:space="preserve"> HYPERLINK \l _Toc961277598_WPSOffice_Level1 </w:instrText>
          </w:r>
          <w:r>
            <w:rPr>
              <w:b/>
              <w:bCs/>
              <w:sz w:val="21"/>
              <w:szCs w:val="21"/>
            </w:rPr>
            <w:fldChar w:fldCharType="separate"/>
          </w:r>
          <w:sdt>
            <w:sdtPr>
              <w:rPr>
                <w:rFonts w:ascii="仿宋_GB2312" w:hAnsi="仿宋_GB2312" w:eastAsia="仿宋_GB2312" w:cstheme="minorBidi"/>
                <w:b/>
                <w:bCs/>
                <w:kern w:val="2"/>
                <w:sz w:val="36"/>
                <w:szCs w:val="28"/>
                <w:lang w:val="en-US" w:eastAsia="zh-CN" w:bidi="ar-SA"/>
              </w:rPr>
              <w:id w:val="575877519"/>
              <w:placeholder>
                <w:docPart w:val="{5c6c3639-4664-47d6-adcb-ee1eae70890d}"/>
              </w:placeholder>
            </w:sdtPr>
            <w:sdtEndPr>
              <w:rPr>
                <w:rFonts w:ascii="仿宋_GB2312" w:hAnsi="仿宋_GB2312" w:eastAsia="仿宋_GB2312" w:cstheme="minorBidi"/>
                <w:b/>
                <w:bCs/>
                <w:kern w:val="2"/>
                <w:sz w:val="36"/>
                <w:szCs w:val="28"/>
                <w:lang w:val="en-US" w:eastAsia="zh-CN" w:bidi="ar-SA"/>
              </w:rPr>
            </w:sdtEndPr>
            <w:sdtContent>
              <w:r>
                <w:rPr>
                  <w:rFonts w:hint="eastAsia" w:ascii="黑体" w:hAnsi="黑体" w:eastAsia="黑体" w:cstheme="minorBidi"/>
                  <w:b/>
                  <w:bCs/>
                  <w:sz w:val="21"/>
                  <w:szCs w:val="21"/>
                </w:rPr>
                <w:t>第一部分 秦皇岛海事局基本情况</w:t>
              </w:r>
            </w:sdtContent>
          </w:sdt>
          <w:r>
            <w:rPr>
              <w:b/>
              <w:bCs/>
              <w:sz w:val="21"/>
              <w:szCs w:val="21"/>
            </w:rPr>
            <w:tab/>
          </w:r>
          <w:bookmarkStart w:id="1" w:name="_Toc961277598_WPSOffice_Level1Page"/>
          <w:r>
            <w:rPr>
              <w:b/>
              <w:bCs/>
              <w:sz w:val="21"/>
              <w:szCs w:val="21"/>
            </w:rPr>
            <w:t>1</w:t>
          </w:r>
          <w:bookmarkEnd w:id="1"/>
          <w:r>
            <w:rPr>
              <w:b/>
              <w:bCs/>
              <w:sz w:val="21"/>
              <w:szCs w:val="21"/>
            </w:rPr>
            <w:fldChar w:fldCharType="end"/>
          </w:r>
        </w:p>
        <w:p>
          <w:pPr>
            <w:pStyle w:val="17"/>
            <w:tabs>
              <w:tab w:val="right" w:leader="dot" w:pos="8306"/>
            </w:tabs>
            <w:rPr>
              <w:sz w:val="21"/>
              <w:szCs w:val="21"/>
            </w:rPr>
          </w:pPr>
          <w:r>
            <w:rPr>
              <w:sz w:val="21"/>
              <w:szCs w:val="21"/>
            </w:rPr>
            <w:fldChar w:fldCharType="begin"/>
          </w:r>
          <w:r>
            <w:rPr>
              <w:sz w:val="21"/>
              <w:szCs w:val="21"/>
            </w:rPr>
            <w:instrText xml:space="preserve"> HYPERLINK \l _Toc670726553_WPSOffice_Level2 </w:instrText>
          </w:r>
          <w:r>
            <w:rPr>
              <w:sz w:val="21"/>
              <w:szCs w:val="21"/>
            </w:rPr>
            <w:fldChar w:fldCharType="separate"/>
          </w:r>
          <w:sdt>
            <w:sdtPr>
              <w:rPr>
                <w:rFonts w:ascii="仿宋_GB2312" w:hAnsi="仿宋_GB2312" w:eastAsia="仿宋_GB2312" w:cstheme="minorBidi"/>
                <w:kern w:val="2"/>
                <w:sz w:val="36"/>
                <w:szCs w:val="28"/>
                <w:lang w:val="en-US" w:eastAsia="zh-CN" w:bidi="ar-SA"/>
              </w:rPr>
              <w:id w:val="575877519"/>
              <w:placeholder>
                <w:docPart w:val="{83081956-ac3f-4296-8f2f-bc017dd0894d}"/>
              </w:placeholder>
            </w:sdtPr>
            <w:sdtEndPr>
              <w:rPr>
                <w:rFonts w:ascii="仿宋_GB2312" w:hAnsi="仿宋_GB2312" w:eastAsia="仿宋_GB2312" w:cstheme="minorBidi"/>
                <w:kern w:val="2"/>
                <w:sz w:val="36"/>
                <w:szCs w:val="28"/>
                <w:lang w:val="en-US" w:eastAsia="zh-CN" w:bidi="ar-SA"/>
              </w:rPr>
            </w:sdtEndPr>
            <w:sdtContent>
              <w:r>
                <w:rPr>
                  <w:rFonts w:hint="eastAsia" w:ascii="黑体" w:hAnsi="黑体" w:eastAsia="黑体" w:cstheme="minorBidi"/>
                  <w:sz w:val="21"/>
                  <w:szCs w:val="21"/>
                </w:rPr>
                <w:t>一、主要职能</w:t>
              </w:r>
            </w:sdtContent>
          </w:sdt>
          <w:r>
            <w:rPr>
              <w:sz w:val="21"/>
              <w:szCs w:val="21"/>
            </w:rPr>
            <w:tab/>
          </w:r>
          <w:bookmarkStart w:id="2" w:name="_Toc670726553_WPSOffice_Level2Page"/>
          <w:r>
            <w:rPr>
              <w:sz w:val="21"/>
              <w:szCs w:val="21"/>
            </w:rPr>
            <w:t>1</w:t>
          </w:r>
          <w:bookmarkEnd w:id="2"/>
          <w:r>
            <w:rPr>
              <w:sz w:val="21"/>
              <w:szCs w:val="21"/>
            </w:rPr>
            <w:fldChar w:fldCharType="end"/>
          </w:r>
        </w:p>
        <w:p>
          <w:pPr>
            <w:pStyle w:val="17"/>
            <w:tabs>
              <w:tab w:val="right" w:leader="dot" w:pos="8306"/>
            </w:tabs>
            <w:rPr>
              <w:sz w:val="21"/>
              <w:szCs w:val="21"/>
            </w:rPr>
          </w:pPr>
          <w:r>
            <w:rPr>
              <w:sz w:val="21"/>
              <w:szCs w:val="21"/>
            </w:rPr>
            <w:fldChar w:fldCharType="begin"/>
          </w:r>
          <w:r>
            <w:rPr>
              <w:sz w:val="21"/>
              <w:szCs w:val="21"/>
            </w:rPr>
            <w:instrText xml:space="preserve"> HYPERLINK \l _Toc1015720099_WPSOffice_Level2 </w:instrText>
          </w:r>
          <w:r>
            <w:rPr>
              <w:sz w:val="21"/>
              <w:szCs w:val="21"/>
            </w:rPr>
            <w:fldChar w:fldCharType="separate"/>
          </w:r>
          <w:sdt>
            <w:sdtPr>
              <w:rPr>
                <w:rFonts w:ascii="仿宋_GB2312" w:hAnsi="仿宋_GB2312" w:eastAsia="仿宋_GB2312" w:cstheme="minorBidi"/>
                <w:kern w:val="2"/>
                <w:sz w:val="36"/>
                <w:szCs w:val="28"/>
                <w:lang w:val="en-US" w:eastAsia="zh-CN" w:bidi="ar-SA"/>
              </w:rPr>
              <w:id w:val="575877519"/>
              <w:placeholder>
                <w:docPart w:val="{4fc2293a-aa9a-4aa9-a6ae-57df85184ced}"/>
              </w:placeholder>
            </w:sdtPr>
            <w:sdtEndPr>
              <w:rPr>
                <w:rFonts w:ascii="仿宋_GB2312" w:hAnsi="仿宋_GB2312" w:eastAsia="仿宋_GB2312" w:cstheme="minorBidi"/>
                <w:kern w:val="2"/>
                <w:sz w:val="36"/>
                <w:szCs w:val="28"/>
                <w:lang w:val="en-US" w:eastAsia="zh-CN" w:bidi="ar-SA"/>
              </w:rPr>
            </w:sdtEndPr>
            <w:sdtContent>
              <w:r>
                <w:rPr>
                  <w:rFonts w:hint="eastAsia" w:ascii="黑体" w:hAnsi="黑体" w:eastAsia="黑体" w:cstheme="minorBidi"/>
                  <w:sz w:val="21"/>
                  <w:szCs w:val="21"/>
                </w:rPr>
                <w:t>二、机构情况</w:t>
              </w:r>
            </w:sdtContent>
          </w:sdt>
          <w:r>
            <w:rPr>
              <w:sz w:val="21"/>
              <w:szCs w:val="21"/>
            </w:rPr>
            <w:tab/>
          </w:r>
          <w:bookmarkStart w:id="3" w:name="_Toc1015720099_WPSOffice_Level2Page"/>
          <w:r>
            <w:rPr>
              <w:sz w:val="21"/>
              <w:szCs w:val="21"/>
            </w:rPr>
            <w:t>2</w:t>
          </w:r>
          <w:bookmarkEnd w:id="3"/>
          <w:r>
            <w:rPr>
              <w:sz w:val="21"/>
              <w:szCs w:val="21"/>
            </w:rPr>
            <w:fldChar w:fldCharType="end"/>
          </w:r>
        </w:p>
        <w:p>
          <w:pPr>
            <w:pStyle w:val="16"/>
            <w:tabs>
              <w:tab w:val="right" w:leader="dot" w:pos="8306"/>
            </w:tabs>
            <w:rPr>
              <w:sz w:val="21"/>
              <w:szCs w:val="21"/>
            </w:rPr>
          </w:pPr>
          <w:r>
            <w:rPr>
              <w:b/>
              <w:bCs/>
              <w:sz w:val="21"/>
              <w:szCs w:val="21"/>
            </w:rPr>
            <w:fldChar w:fldCharType="begin"/>
          </w:r>
          <w:r>
            <w:rPr>
              <w:sz w:val="21"/>
              <w:szCs w:val="21"/>
            </w:rPr>
            <w:instrText xml:space="preserve"> HYPERLINK \l _Toc670726553_WPSOffice_Level1 </w:instrText>
          </w:r>
          <w:r>
            <w:rPr>
              <w:b/>
              <w:bCs/>
              <w:sz w:val="21"/>
              <w:szCs w:val="21"/>
            </w:rPr>
            <w:fldChar w:fldCharType="separate"/>
          </w:r>
          <w:sdt>
            <w:sdtPr>
              <w:rPr>
                <w:rFonts w:ascii="仿宋_GB2312" w:hAnsi="仿宋_GB2312" w:eastAsia="仿宋_GB2312" w:cstheme="minorBidi"/>
                <w:b/>
                <w:bCs/>
                <w:kern w:val="2"/>
                <w:sz w:val="36"/>
                <w:szCs w:val="28"/>
                <w:lang w:val="en-US" w:eastAsia="zh-CN" w:bidi="ar-SA"/>
              </w:rPr>
              <w:id w:val="575877519"/>
              <w:placeholder>
                <w:docPart w:val="{10f161e7-7df4-4da9-8fc9-33cfd26daea2}"/>
              </w:placeholder>
            </w:sdtPr>
            <w:sdtEndPr>
              <w:rPr>
                <w:rFonts w:ascii="仿宋_GB2312" w:hAnsi="仿宋_GB2312" w:eastAsia="仿宋_GB2312" w:cstheme="minorBidi"/>
                <w:b/>
                <w:bCs/>
                <w:kern w:val="2"/>
                <w:sz w:val="36"/>
                <w:szCs w:val="28"/>
                <w:lang w:val="en-US" w:eastAsia="zh-CN" w:bidi="ar-SA"/>
              </w:rPr>
            </w:sdtEndPr>
            <w:sdtContent>
              <w:r>
                <w:rPr>
                  <w:rFonts w:hint="eastAsia" w:ascii="黑体" w:hAnsi="黑体" w:eastAsia="黑体" w:cstheme="minorBidi"/>
                  <w:b/>
                  <w:bCs/>
                  <w:sz w:val="21"/>
                  <w:szCs w:val="21"/>
                </w:rPr>
                <w:t>第二部分 部门预算表</w:t>
              </w:r>
            </w:sdtContent>
          </w:sdt>
          <w:r>
            <w:rPr>
              <w:b/>
              <w:bCs/>
              <w:sz w:val="21"/>
              <w:szCs w:val="21"/>
            </w:rPr>
            <w:tab/>
          </w:r>
          <w:bookmarkStart w:id="4" w:name="_Toc670726553_WPSOffice_Level1Page"/>
          <w:r>
            <w:rPr>
              <w:b/>
              <w:bCs/>
              <w:sz w:val="21"/>
              <w:szCs w:val="21"/>
            </w:rPr>
            <w:t>2</w:t>
          </w:r>
          <w:bookmarkEnd w:id="4"/>
          <w:r>
            <w:rPr>
              <w:b/>
              <w:bCs/>
              <w:sz w:val="21"/>
              <w:szCs w:val="21"/>
            </w:rPr>
            <w:fldChar w:fldCharType="end"/>
          </w:r>
        </w:p>
        <w:p>
          <w:pPr>
            <w:pStyle w:val="16"/>
            <w:tabs>
              <w:tab w:val="right" w:leader="dot" w:pos="8306"/>
            </w:tabs>
            <w:rPr>
              <w:sz w:val="21"/>
              <w:szCs w:val="21"/>
            </w:rPr>
          </w:pPr>
          <w:r>
            <w:rPr>
              <w:b/>
              <w:bCs/>
              <w:sz w:val="21"/>
              <w:szCs w:val="21"/>
            </w:rPr>
            <w:fldChar w:fldCharType="begin"/>
          </w:r>
          <w:r>
            <w:rPr>
              <w:sz w:val="21"/>
              <w:szCs w:val="21"/>
            </w:rPr>
            <w:instrText xml:space="preserve"> HYPERLINK \l _Toc1015720099_WPSOffice_Level1 </w:instrText>
          </w:r>
          <w:r>
            <w:rPr>
              <w:b/>
              <w:bCs/>
              <w:sz w:val="21"/>
              <w:szCs w:val="21"/>
            </w:rPr>
            <w:fldChar w:fldCharType="separate"/>
          </w:r>
          <w:sdt>
            <w:sdtPr>
              <w:rPr>
                <w:rFonts w:ascii="仿宋_GB2312" w:hAnsi="仿宋_GB2312" w:eastAsia="仿宋_GB2312" w:cstheme="minorBidi"/>
                <w:b/>
                <w:bCs/>
                <w:kern w:val="2"/>
                <w:sz w:val="36"/>
                <w:szCs w:val="28"/>
                <w:lang w:val="en-US" w:eastAsia="zh-CN" w:bidi="ar-SA"/>
              </w:rPr>
              <w:id w:val="575877519"/>
              <w:placeholder>
                <w:docPart w:val="{8d1cdb0c-40fc-40b6-8381-62e0f965a4c3}"/>
              </w:placeholder>
            </w:sdtPr>
            <w:sdtEndPr>
              <w:rPr>
                <w:rFonts w:ascii="仿宋_GB2312" w:hAnsi="仿宋_GB2312" w:eastAsia="仿宋_GB2312" w:cstheme="minorBidi"/>
                <w:b/>
                <w:bCs/>
                <w:kern w:val="2"/>
                <w:sz w:val="36"/>
                <w:szCs w:val="28"/>
                <w:lang w:val="en-US" w:eastAsia="zh-CN" w:bidi="ar-SA"/>
              </w:rPr>
            </w:sdtEndPr>
            <w:sdtContent>
              <w:r>
                <w:rPr>
                  <w:rFonts w:hint="eastAsia" w:ascii="黑体" w:hAnsi="黑体" w:eastAsia="黑体" w:cstheme="minorBidi"/>
                  <w:b/>
                  <w:bCs/>
                  <w:sz w:val="21"/>
                  <w:szCs w:val="21"/>
                </w:rPr>
                <w:t>第三部分</w:t>
              </w:r>
              <w:r>
                <w:rPr>
                  <w:rFonts w:ascii="黑体" w:hAnsi="黑体" w:eastAsia="黑体" w:cstheme="minorBidi"/>
                  <w:b/>
                  <w:bCs/>
                  <w:sz w:val="21"/>
                  <w:szCs w:val="21"/>
                </w:rPr>
                <w:t>  </w:t>
              </w:r>
              <w:r>
                <w:rPr>
                  <w:rFonts w:hint="eastAsia" w:ascii="黑体" w:hAnsi="黑体" w:eastAsia="黑体" w:cstheme="minorBidi"/>
                  <w:b/>
                  <w:bCs/>
                  <w:sz w:val="21"/>
                  <w:szCs w:val="21"/>
                </w:rPr>
                <w:t>秦皇岛海事局部门预算情况说明</w:t>
              </w:r>
            </w:sdtContent>
          </w:sdt>
          <w:r>
            <w:rPr>
              <w:b/>
              <w:bCs/>
              <w:sz w:val="21"/>
              <w:szCs w:val="21"/>
            </w:rPr>
            <w:tab/>
          </w:r>
          <w:bookmarkStart w:id="5" w:name="_Toc1015720099_WPSOffice_Level1Page"/>
          <w:r>
            <w:rPr>
              <w:b/>
              <w:bCs/>
              <w:sz w:val="21"/>
              <w:szCs w:val="21"/>
            </w:rPr>
            <w:t>12</w:t>
          </w:r>
          <w:bookmarkEnd w:id="5"/>
          <w:r>
            <w:rPr>
              <w:b/>
              <w:bCs/>
              <w:sz w:val="21"/>
              <w:szCs w:val="21"/>
            </w:rPr>
            <w:fldChar w:fldCharType="end"/>
          </w:r>
        </w:p>
        <w:p>
          <w:pPr>
            <w:pStyle w:val="17"/>
            <w:tabs>
              <w:tab w:val="right" w:leader="dot" w:pos="8306"/>
            </w:tabs>
            <w:rPr>
              <w:sz w:val="21"/>
              <w:szCs w:val="21"/>
            </w:rPr>
          </w:pPr>
          <w:r>
            <w:rPr>
              <w:sz w:val="21"/>
              <w:szCs w:val="21"/>
            </w:rPr>
            <w:fldChar w:fldCharType="begin"/>
          </w:r>
          <w:r>
            <w:rPr>
              <w:sz w:val="21"/>
              <w:szCs w:val="21"/>
            </w:rPr>
            <w:instrText xml:space="preserve"> HYPERLINK \l _Toc695569977_WPSOffice_Level2 </w:instrText>
          </w:r>
          <w:r>
            <w:rPr>
              <w:sz w:val="21"/>
              <w:szCs w:val="21"/>
            </w:rPr>
            <w:fldChar w:fldCharType="separate"/>
          </w:r>
          <w:sdt>
            <w:sdtPr>
              <w:rPr>
                <w:rFonts w:ascii="仿宋_GB2312" w:hAnsi="仿宋_GB2312" w:eastAsia="仿宋_GB2312" w:cstheme="minorBidi"/>
                <w:kern w:val="2"/>
                <w:sz w:val="36"/>
                <w:szCs w:val="28"/>
                <w:lang w:val="en-US" w:eastAsia="zh-CN" w:bidi="ar-SA"/>
              </w:rPr>
              <w:id w:val="575877519"/>
              <w:placeholder>
                <w:docPart w:val="{6dfb25a3-9f28-4b60-938d-98b7b6b94d2d}"/>
              </w:placeholder>
            </w:sdtPr>
            <w:sdtEndPr>
              <w:rPr>
                <w:rFonts w:ascii="仿宋_GB2312" w:hAnsi="仿宋_GB2312" w:eastAsia="仿宋_GB2312" w:cstheme="minorBidi"/>
                <w:kern w:val="2"/>
                <w:sz w:val="36"/>
                <w:szCs w:val="28"/>
                <w:lang w:val="en-US" w:eastAsia="zh-CN" w:bidi="ar-SA"/>
              </w:rPr>
            </w:sdtEndPr>
            <w:sdtContent>
              <w:r>
                <w:rPr>
                  <w:rFonts w:hint="eastAsia" w:ascii="黑体" w:hAnsi="黑体" w:eastAsia="黑体" w:cs="Times New Roman"/>
                  <w:sz w:val="21"/>
                  <w:szCs w:val="21"/>
                </w:rPr>
                <w:t>一、关于部门收支总表的说明</w:t>
              </w:r>
            </w:sdtContent>
          </w:sdt>
          <w:r>
            <w:rPr>
              <w:sz w:val="21"/>
              <w:szCs w:val="21"/>
            </w:rPr>
            <w:tab/>
          </w:r>
          <w:bookmarkStart w:id="6" w:name="_Toc695569977_WPSOffice_Level2Page"/>
          <w:r>
            <w:rPr>
              <w:sz w:val="21"/>
              <w:szCs w:val="21"/>
            </w:rPr>
            <w:t>12</w:t>
          </w:r>
          <w:bookmarkEnd w:id="6"/>
          <w:r>
            <w:rPr>
              <w:sz w:val="21"/>
              <w:szCs w:val="21"/>
            </w:rPr>
            <w:fldChar w:fldCharType="end"/>
          </w:r>
        </w:p>
        <w:p>
          <w:pPr>
            <w:pStyle w:val="17"/>
            <w:tabs>
              <w:tab w:val="right" w:leader="dot" w:pos="8306"/>
            </w:tabs>
            <w:rPr>
              <w:sz w:val="21"/>
              <w:szCs w:val="21"/>
            </w:rPr>
          </w:pPr>
          <w:r>
            <w:rPr>
              <w:sz w:val="21"/>
              <w:szCs w:val="21"/>
            </w:rPr>
            <w:fldChar w:fldCharType="begin"/>
          </w:r>
          <w:r>
            <w:rPr>
              <w:sz w:val="21"/>
              <w:szCs w:val="21"/>
            </w:rPr>
            <w:instrText xml:space="preserve"> HYPERLINK \l _Toc361076037_WPSOffice_Level2 </w:instrText>
          </w:r>
          <w:r>
            <w:rPr>
              <w:sz w:val="21"/>
              <w:szCs w:val="21"/>
            </w:rPr>
            <w:fldChar w:fldCharType="separate"/>
          </w:r>
          <w:sdt>
            <w:sdtPr>
              <w:rPr>
                <w:rFonts w:ascii="仿宋_GB2312" w:hAnsi="仿宋_GB2312" w:eastAsia="仿宋_GB2312" w:cstheme="minorBidi"/>
                <w:kern w:val="2"/>
                <w:sz w:val="36"/>
                <w:szCs w:val="28"/>
                <w:lang w:val="en-US" w:eastAsia="zh-CN" w:bidi="ar-SA"/>
              </w:rPr>
              <w:id w:val="575877519"/>
              <w:placeholder>
                <w:docPart w:val="{99b0440c-3476-41e2-a813-1395e12a01b2}"/>
              </w:placeholder>
            </w:sdtPr>
            <w:sdtEndPr>
              <w:rPr>
                <w:rFonts w:ascii="仿宋_GB2312" w:hAnsi="仿宋_GB2312" w:eastAsia="仿宋_GB2312" w:cstheme="minorBidi"/>
                <w:kern w:val="2"/>
                <w:sz w:val="36"/>
                <w:szCs w:val="28"/>
                <w:lang w:val="en-US" w:eastAsia="zh-CN" w:bidi="ar-SA"/>
              </w:rPr>
            </w:sdtEndPr>
            <w:sdtContent>
              <w:r>
                <w:rPr>
                  <w:rFonts w:hint="eastAsia" w:ascii="黑体" w:hAnsi="黑体" w:eastAsia="黑体" w:cstheme="minorBidi"/>
                  <w:sz w:val="21"/>
                  <w:szCs w:val="21"/>
                </w:rPr>
                <w:t>二、关于部门收入总表的说明</w:t>
              </w:r>
            </w:sdtContent>
          </w:sdt>
          <w:r>
            <w:rPr>
              <w:sz w:val="21"/>
              <w:szCs w:val="21"/>
            </w:rPr>
            <w:tab/>
          </w:r>
          <w:bookmarkStart w:id="7" w:name="_Toc361076037_WPSOffice_Level2Page"/>
          <w:r>
            <w:rPr>
              <w:sz w:val="21"/>
              <w:szCs w:val="21"/>
            </w:rPr>
            <w:t>13</w:t>
          </w:r>
          <w:bookmarkEnd w:id="7"/>
          <w:r>
            <w:rPr>
              <w:sz w:val="21"/>
              <w:szCs w:val="21"/>
            </w:rPr>
            <w:fldChar w:fldCharType="end"/>
          </w:r>
        </w:p>
        <w:p>
          <w:pPr>
            <w:pStyle w:val="17"/>
            <w:tabs>
              <w:tab w:val="right" w:leader="dot" w:pos="8306"/>
            </w:tabs>
            <w:rPr>
              <w:sz w:val="21"/>
              <w:szCs w:val="21"/>
            </w:rPr>
          </w:pPr>
          <w:r>
            <w:rPr>
              <w:sz w:val="21"/>
              <w:szCs w:val="21"/>
            </w:rPr>
            <w:fldChar w:fldCharType="begin"/>
          </w:r>
          <w:r>
            <w:rPr>
              <w:sz w:val="21"/>
              <w:szCs w:val="21"/>
            </w:rPr>
            <w:instrText xml:space="preserve"> HYPERLINK \l _Toc1671302517_WPSOffice_Level2 </w:instrText>
          </w:r>
          <w:r>
            <w:rPr>
              <w:sz w:val="21"/>
              <w:szCs w:val="21"/>
            </w:rPr>
            <w:fldChar w:fldCharType="separate"/>
          </w:r>
          <w:sdt>
            <w:sdtPr>
              <w:rPr>
                <w:rFonts w:ascii="仿宋_GB2312" w:hAnsi="仿宋_GB2312" w:eastAsia="仿宋_GB2312" w:cstheme="minorBidi"/>
                <w:kern w:val="2"/>
                <w:sz w:val="36"/>
                <w:szCs w:val="28"/>
                <w:lang w:val="en-US" w:eastAsia="zh-CN" w:bidi="ar-SA"/>
              </w:rPr>
              <w:id w:val="575877519"/>
              <w:placeholder>
                <w:docPart w:val="{0eeb0e30-905e-43a4-a66c-df1d379dadba}"/>
              </w:placeholder>
            </w:sdtPr>
            <w:sdtEndPr>
              <w:rPr>
                <w:rFonts w:ascii="仿宋_GB2312" w:hAnsi="仿宋_GB2312" w:eastAsia="仿宋_GB2312" w:cstheme="minorBidi"/>
                <w:kern w:val="2"/>
                <w:sz w:val="36"/>
                <w:szCs w:val="28"/>
                <w:lang w:val="en-US" w:eastAsia="zh-CN" w:bidi="ar-SA"/>
              </w:rPr>
            </w:sdtEndPr>
            <w:sdtContent>
              <w:r>
                <w:rPr>
                  <w:rFonts w:hint="eastAsia" w:ascii="黑体" w:hAnsi="黑体" w:eastAsia="黑体" w:cstheme="minorBidi"/>
                  <w:sz w:val="21"/>
                  <w:szCs w:val="21"/>
                </w:rPr>
                <w:t>三、关于部门支出总表的说明 </w:t>
              </w:r>
            </w:sdtContent>
          </w:sdt>
          <w:r>
            <w:rPr>
              <w:sz w:val="21"/>
              <w:szCs w:val="21"/>
            </w:rPr>
            <w:tab/>
          </w:r>
          <w:bookmarkStart w:id="8" w:name="_Toc1671302517_WPSOffice_Level2Page"/>
          <w:r>
            <w:rPr>
              <w:sz w:val="21"/>
              <w:szCs w:val="21"/>
            </w:rPr>
            <w:t>13</w:t>
          </w:r>
          <w:bookmarkEnd w:id="8"/>
          <w:r>
            <w:rPr>
              <w:sz w:val="21"/>
              <w:szCs w:val="21"/>
            </w:rPr>
            <w:fldChar w:fldCharType="end"/>
          </w:r>
        </w:p>
        <w:p>
          <w:pPr>
            <w:pStyle w:val="17"/>
            <w:tabs>
              <w:tab w:val="right" w:leader="dot" w:pos="8306"/>
            </w:tabs>
            <w:rPr>
              <w:sz w:val="21"/>
              <w:szCs w:val="21"/>
            </w:rPr>
          </w:pPr>
          <w:r>
            <w:rPr>
              <w:sz w:val="21"/>
              <w:szCs w:val="21"/>
            </w:rPr>
            <w:fldChar w:fldCharType="begin"/>
          </w:r>
          <w:r>
            <w:rPr>
              <w:sz w:val="21"/>
              <w:szCs w:val="21"/>
            </w:rPr>
            <w:instrText xml:space="preserve"> HYPERLINK \l _Toc518198994_WPSOffice_Level2 </w:instrText>
          </w:r>
          <w:r>
            <w:rPr>
              <w:sz w:val="21"/>
              <w:szCs w:val="21"/>
            </w:rPr>
            <w:fldChar w:fldCharType="separate"/>
          </w:r>
          <w:sdt>
            <w:sdtPr>
              <w:rPr>
                <w:rFonts w:ascii="仿宋_GB2312" w:hAnsi="仿宋_GB2312" w:eastAsia="仿宋_GB2312" w:cstheme="minorBidi"/>
                <w:kern w:val="2"/>
                <w:sz w:val="36"/>
                <w:szCs w:val="28"/>
                <w:lang w:val="en-US" w:eastAsia="zh-CN" w:bidi="ar-SA"/>
              </w:rPr>
              <w:id w:val="575877519"/>
              <w:placeholder>
                <w:docPart w:val="{8e0dce39-17ce-486b-ad88-08537722180f}"/>
              </w:placeholder>
            </w:sdtPr>
            <w:sdtEndPr>
              <w:rPr>
                <w:rFonts w:ascii="仿宋_GB2312" w:hAnsi="仿宋_GB2312" w:eastAsia="仿宋_GB2312" w:cstheme="minorBidi"/>
                <w:kern w:val="2"/>
                <w:sz w:val="36"/>
                <w:szCs w:val="28"/>
                <w:lang w:val="en-US" w:eastAsia="zh-CN" w:bidi="ar-SA"/>
              </w:rPr>
            </w:sdtEndPr>
            <w:sdtContent>
              <w:r>
                <w:rPr>
                  <w:rFonts w:hint="eastAsia" w:ascii="黑体" w:hAnsi="黑体" w:eastAsia="黑体" w:cstheme="minorBidi"/>
                  <w:sz w:val="21"/>
                  <w:szCs w:val="21"/>
                </w:rPr>
                <w:t>四、关于财政拨款收支总表的说明</w:t>
              </w:r>
            </w:sdtContent>
          </w:sdt>
          <w:r>
            <w:rPr>
              <w:sz w:val="21"/>
              <w:szCs w:val="21"/>
            </w:rPr>
            <w:tab/>
          </w:r>
          <w:bookmarkStart w:id="9" w:name="_Toc518198994_WPSOffice_Level2Page"/>
          <w:r>
            <w:rPr>
              <w:sz w:val="21"/>
              <w:szCs w:val="21"/>
            </w:rPr>
            <w:t>14</w:t>
          </w:r>
          <w:bookmarkEnd w:id="9"/>
          <w:r>
            <w:rPr>
              <w:sz w:val="21"/>
              <w:szCs w:val="21"/>
            </w:rPr>
            <w:fldChar w:fldCharType="end"/>
          </w:r>
        </w:p>
        <w:p>
          <w:pPr>
            <w:pStyle w:val="17"/>
            <w:tabs>
              <w:tab w:val="right" w:leader="dot" w:pos="8306"/>
            </w:tabs>
            <w:rPr>
              <w:sz w:val="21"/>
              <w:szCs w:val="21"/>
            </w:rPr>
          </w:pPr>
          <w:r>
            <w:rPr>
              <w:sz w:val="21"/>
              <w:szCs w:val="21"/>
            </w:rPr>
            <w:fldChar w:fldCharType="begin"/>
          </w:r>
          <w:r>
            <w:rPr>
              <w:sz w:val="21"/>
              <w:szCs w:val="21"/>
            </w:rPr>
            <w:instrText xml:space="preserve"> HYPERLINK \l _Toc1269444457_WPSOffice_Level2 </w:instrText>
          </w:r>
          <w:r>
            <w:rPr>
              <w:sz w:val="21"/>
              <w:szCs w:val="21"/>
            </w:rPr>
            <w:fldChar w:fldCharType="separate"/>
          </w:r>
          <w:sdt>
            <w:sdtPr>
              <w:rPr>
                <w:rFonts w:ascii="仿宋_GB2312" w:hAnsi="仿宋_GB2312" w:eastAsia="仿宋_GB2312" w:cstheme="minorBidi"/>
                <w:kern w:val="2"/>
                <w:sz w:val="36"/>
                <w:szCs w:val="28"/>
                <w:lang w:val="en-US" w:eastAsia="zh-CN" w:bidi="ar-SA"/>
              </w:rPr>
              <w:id w:val="575877519"/>
              <w:placeholder>
                <w:docPart w:val="{712182d3-3e9f-476b-b8be-fca8eae91d25}"/>
              </w:placeholder>
            </w:sdtPr>
            <w:sdtEndPr>
              <w:rPr>
                <w:rFonts w:ascii="仿宋_GB2312" w:hAnsi="仿宋_GB2312" w:eastAsia="仿宋_GB2312" w:cstheme="minorBidi"/>
                <w:kern w:val="2"/>
                <w:sz w:val="36"/>
                <w:szCs w:val="28"/>
                <w:lang w:val="en-US" w:eastAsia="zh-CN" w:bidi="ar-SA"/>
              </w:rPr>
            </w:sdtEndPr>
            <w:sdtContent>
              <w:r>
                <w:rPr>
                  <w:rFonts w:hint="eastAsia" w:ascii="黑体" w:hAnsi="黑体" w:eastAsia="黑体" w:cstheme="minorBidi"/>
                  <w:sz w:val="21"/>
                  <w:szCs w:val="21"/>
                </w:rPr>
                <w:t>五、关于一般公共预算支出表的说明</w:t>
              </w:r>
            </w:sdtContent>
          </w:sdt>
          <w:r>
            <w:rPr>
              <w:sz w:val="21"/>
              <w:szCs w:val="21"/>
            </w:rPr>
            <w:tab/>
          </w:r>
          <w:bookmarkStart w:id="10" w:name="_Toc1269444457_WPSOffice_Level2Page"/>
          <w:r>
            <w:rPr>
              <w:sz w:val="21"/>
              <w:szCs w:val="21"/>
            </w:rPr>
            <w:t>14</w:t>
          </w:r>
          <w:bookmarkEnd w:id="10"/>
          <w:r>
            <w:rPr>
              <w:sz w:val="21"/>
              <w:szCs w:val="21"/>
            </w:rPr>
            <w:fldChar w:fldCharType="end"/>
          </w:r>
        </w:p>
        <w:p>
          <w:pPr>
            <w:pStyle w:val="17"/>
            <w:tabs>
              <w:tab w:val="right" w:leader="dot" w:pos="8306"/>
            </w:tabs>
            <w:rPr>
              <w:sz w:val="21"/>
              <w:szCs w:val="21"/>
            </w:rPr>
          </w:pPr>
          <w:r>
            <w:rPr>
              <w:sz w:val="21"/>
              <w:szCs w:val="21"/>
            </w:rPr>
            <w:fldChar w:fldCharType="begin"/>
          </w:r>
          <w:r>
            <w:rPr>
              <w:sz w:val="21"/>
              <w:szCs w:val="21"/>
            </w:rPr>
            <w:instrText xml:space="preserve"> HYPERLINK \l _Toc1967280289_WPSOffice_Level2 </w:instrText>
          </w:r>
          <w:r>
            <w:rPr>
              <w:sz w:val="21"/>
              <w:szCs w:val="21"/>
            </w:rPr>
            <w:fldChar w:fldCharType="separate"/>
          </w:r>
          <w:sdt>
            <w:sdtPr>
              <w:rPr>
                <w:rFonts w:ascii="仿宋_GB2312" w:hAnsi="仿宋_GB2312" w:eastAsia="仿宋_GB2312" w:cstheme="minorBidi"/>
                <w:kern w:val="2"/>
                <w:sz w:val="36"/>
                <w:szCs w:val="28"/>
                <w:lang w:val="en-US" w:eastAsia="zh-CN" w:bidi="ar-SA"/>
              </w:rPr>
              <w:id w:val="575877519"/>
              <w:placeholder>
                <w:docPart w:val="{965527c4-eae4-4662-be3e-d87f39802d61}"/>
              </w:placeholder>
            </w:sdtPr>
            <w:sdtEndPr>
              <w:rPr>
                <w:rFonts w:ascii="仿宋_GB2312" w:hAnsi="仿宋_GB2312" w:eastAsia="仿宋_GB2312" w:cstheme="minorBidi"/>
                <w:kern w:val="2"/>
                <w:sz w:val="36"/>
                <w:szCs w:val="28"/>
                <w:lang w:val="en-US" w:eastAsia="zh-CN" w:bidi="ar-SA"/>
              </w:rPr>
            </w:sdtEndPr>
            <w:sdtContent>
              <w:r>
                <w:rPr>
                  <w:rFonts w:hint="eastAsia" w:ascii="黑体" w:hAnsi="黑体" w:eastAsia="黑体" w:cstheme="minorBidi"/>
                  <w:sz w:val="21"/>
                  <w:szCs w:val="21"/>
                </w:rPr>
                <w:t>六、关于2024年一般公共预算基本支出表的说明</w:t>
              </w:r>
            </w:sdtContent>
          </w:sdt>
          <w:r>
            <w:rPr>
              <w:sz w:val="21"/>
              <w:szCs w:val="21"/>
            </w:rPr>
            <w:tab/>
          </w:r>
          <w:bookmarkStart w:id="11" w:name="_Toc1967280289_WPSOffice_Level2Page"/>
          <w:r>
            <w:rPr>
              <w:sz w:val="21"/>
              <w:szCs w:val="21"/>
            </w:rPr>
            <w:t>16</w:t>
          </w:r>
          <w:bookmarkEnd w:id="11"/>
          <w:r>
            <w:rPr>
              <w:sz w:val="21"/>
              <w:szCs w:val="21"/>
            </w:rPr>
            <w:fldChar w:fldCharType="end"/>
          </w:r>
        </w:p>
        <w:p>
          <w:pPr>
            <w:pStyle w:val="17"/>
            <w:tabs>
              <w:tab w:val="right" w:leader="dot" w:pos="8306"/>
            </w:tabs>
            <w:rPr>
              <w:sz w:val="21"/>
              <w:szCs w:val="21"/>
            </w:rPr>
          </w:pPr>
          <w:r>
            <w:rPr>
              <w:sz w:val="21"/>
              <w:szCs w:val="21"/>
            </w:rPr>
            <w:fldChar w:fldCharType="begin"/>
          </w:r>
          <w:r>
            <w:rPr>
              <w:sz w:val="21"/>
              <w:szCs w:val="21"/>
            </w:rPr>
            <w:instrText xml:space="preserve"> HYPERLINK \l _Toc1080710650_WPSOffice_Level2 </w:instrText>
          </w:r>
          <w:r>
            <w:rPr>
              <w:sz w:val="21"/>
              <w:szCs w:val="21"/>
            </w:rPr>
            <w:fldChar w:fldCharType="separate"/>
          </w:r>
          <w:sdt>
            <w:sdtPr>
              <w:rPr>
                <w:rFonts w:ascii="仿宋_GB2312" w:hAnsi="仿宋_GB2312" w:eastAsia="仿宋_GB2312" w:cstheme="minorBidi"/>
                <w:kern w:val="2"/>
                <w:sz w:val="36"/>
                <w:szCs w:val="28"/>
                <w:lang w:val="en-US" w:eastAsia="zh-CN" w:bidi="ar-SA"/>
              </w:rPr>
              <w:id w:val="575877519"/>
              <w:placeholder>
                <w:docPart w:val="{d57796a5-3b91-48a6-b0c5-7358483d53d3}"/>
              </w:placeholder>
            </w:sdtPr>
            <w:sdtEndPr>
              <w:rPr>
                <w:rFonts w:ascii="仿宋_GB2312" w:hAnsi="仿宋_GB2312" w:eastAsia="仿宋_GB2312" w:cstheme="minorBidi"/>
                <w:kern w:val="2"/>
                <w:sz w:val="36"/>
                <w:szCs w:val="28"/>
                <w:lang w:val="en-US" w:eastAsia="zh-CN" w:bidi="ar-SA"/>
              </w:rPr>
            </w:sdtEndPr>
            <w:sdtContent>
              <w:r>
                <w:rPr>
                  <w:rFonts w:hint="eastAsia" w:ascii="黑体" w:hAnsi="黑体" w:eastAsia="黑体" w:cstheme="minorBidi"/>
                  <w:sz w:val="21"/>
                  <w:szCs w:val="21"/>
                </w:rPr>
                <w:t>八、关于政府性基金预算支出表的说明</w:t>
              </w:r>
            </w:sdtContent>
          </w:sdt>
          <w:r>
            <w:rPr>
              <w:sz w:val="21"/>
              <w:szCs w:val="21"/>
            </w:rPr>
            <w:tab/>
          </w:r>
          <w:bookmarkStart w:id="12" w:name="_Toc1080710650_WPSOffice_Level2Page"/>
          <w:r>
            <w:rPr>
              <w:sz w:val="21"/>
              <w:szCs w:val="21"/>
            </w:rPr>
            <w:t>17</w:t>
          </w:r>
          <w:bookmarkEnd w:id="12"/>
          <w:r>
            <w:rPr>
              <w:sz w:val="21"/>
              <w:szCs w:val="21"/>
            </w:rPr>
            <w:fldChar w:fldCharType="end"/>
          </w:r>
        </w:p>
        <w:p>
          <w:pPr>
            <w:pStyle w:val="17"/>
            <w:tabs>
              <w:tab w:val="right" w:leader="dot" w:pos="8306"/>
            </w:tabs>
            <w:rPr>
              <w:sz w:val="21"/>
              <w:szCs w:val="21"/>
            </w:rPr>
          </w:pPr>
          <w:r>
            <w:rPr>
              <w:sz w:val="21"/>
              <w:szCs w:val="21"/>
            </w:rPr>
            <w:fldChar w:fldCharType="begin"/>
          </w:r>
          <w:r>
            <w:rPr>
              <w:sz w:val="21"/>
              <w:szCs w:val="21"/>
            </w:rPr>
            <w:instrText xml:space="preserve"> HYPERLINK \l _Toc170010101_WPSOffice_Level2 </w:instrText>
          </w:r>
          <w:r>
            <w:rPr>
              <w:sz w:val="21"/>
              <w:szCs w:val="21"/>
            </w:rPr>
            <w:fldChar w:fldCharType="separate"/>
          </w:r>
          <w:sdt>
            <w:sdtPr>
              <w:rPr>
                <w:rFonts w:ascii="仿宋_GB2312" w:hAnsi="仿宋_GB2312" w:eastAsia="仿宋_GB2312" w:cstheme="minorBidi"/>
                <w:kern w:val="2"/>
                <w:sz w:val="36"/>
                <w:szCs w:val="28"/>
                <w:lang w:val="en-US" w:eastAsia="zh-CN" w:bidi="ar-SA"/>
              </w:rPr>
              <w:id w:val="575877519"/>
              <w:placeholder>
                <w:docPart w:val="{c92cf923-4585-43df-88d8-bedc3a365f7f}"/>
              </w:placeholder>
            </w:sdtPr>
            <w:sdtEndPr>
              <w:rPr>
                <w:rFonts w:ascii="仿宋_GB2312" w:hAnsi="仿宋_GB2312" w:eastAsia="仿宋_GB2312" w:cstheme="minorBidi"/>
                <w:kern w:val="2"/>
                <w:sz w:val="36"/>
                <w:szCs w:val="28"/>
                <w:lang w:val="en-US" w:eastAsia="zh-CN" w:bidi="ar-SA"/>
              </w:rPr>
            </w:sdtEndPr>
            <w:sdtContent>
              <w:r>
                <w:rPr>
                  <w:rFonts w:hint="eastAsia" w:ascii="黑体" w:hAnsi="黑体" w:eastAsia="黑体" w:cstheme="minorBidi"/>
                  <w:sz w:val="21"/>
                  <w:szCs w:val="21"/>
                </w:rPr>
                <w:t>九、关于国有资本经营预算支出表的说明</w:t>
              </w:r>
            </w:sdtContent>
          </w:sdt>
          <w:r>
            <w:rPr>
              <w:sz w:val="21"/>
              <w:szCs w:val="21"/>
            </w:rPr>
            <w:tab/>
          </w:r>
          <w:bookmarkStart w:id="13" w:name="_Toc170010101_WPSOffice_Level2Page"/>
          <w:r>
            <w:rPr>
              <w:sz w:val="21"/>
              <w:szCs w:val="21"/>
            </w:rPr>
            <w:t>17</w:t>
          </w:r>
          <w:bookmarkEnd w:id="13"/>
          <w:r>
            <w:rPr>
              <w:sz w:val="21"/>
              <w:szCs w:val="21"/>
            </w:rPr>
            <w:fldChar w:fldCharType="end"/>
          </w:r>
        </w:p>
        <w:p>
          <w:pPr>
            <w:pStyle w:val="17"/>
            <w:tabs>
              <w:tab w:val="right" w:leader="dot" w:pos="8306"/>
            </w:tabs>
            <w:rPr>
              <w:sz w:val="21"/>
              <w:szCs w:val="21"/>
            </w:rPr>
          </w:pPr>
          <w:r>
            <w:rPr>
              <w:sz w:val="21"/>
              <w:szCs w:val="21"/>
            </w:rPr>
            <w:fldChar w:fldCharType="begin"/>
          </w:r>
          <w:r>
            <w:rPr>
              <w:sz w:val="21"/>
              <w:szCs w:val="21"/>
            </w:rPr>
            <w:instrText xml:space="preserve"> HYPERLINK \l _Toc812543190_WPSOffice_Level2 </w:instrText>
          </w:r>
          <w:r>
            <w:rPr>
              <w:sz w:val="21"/>
              <w:szCs w:val="21"/>
            </w:rPr>
            <w:fldChar w:fldCharType="separate"/>
          </w:r>
          <w:sdt>
            <w:sdtPr>
              <w:rPr>
                <w:rFonts w:ascii="仿宋_GB2312" w:hAnsi="仿宋_GB2312" w:eastAsia="仿宋_GB2312" w:cstheme="minorBidi"/>
                <w:kern w:val="2"/>
                <w:sz w:val="36"/>
                <w:szCs w:val="28"/>
                <w:lang w:val="en-US" w:eastAsia="zh-CN" w:bidi="ar-SA"/>
              </w:rPr>
              <w:id w:val="575877519"/>
              <w:placeholder>
                <w:docPart w:val="{e9c6eabc-0824-4a1f-9387-237091a12a05}"/>
              </w:placeholder>
            </w:sdtPr>
            <w:sdtEndPr>
              <w:rPr>
                <w:rFonts w:ascii="仿宋_GB2312" w:hAnsi="仿宋_GB2312" w:eastAsia="仿宋_GB2312" w:cstheme="minorBidi"/>
                <w:kern w:val="2"/>
                <w:sz w:val="36"/>
                <w:szCs w:val="28"/>
                <w:lang w:val="en-US" w:eastAsia="zh-CN" w:bidi="ar-SA"/>
              </w:rPr>
            </w:sdtEndPr>
            <w:sdtContent>
              <w:r>
                <w:rPr>
                  <w:rFonts w:hint="eastAsia" w:ascii="黑体" w:hAnsi="黑体" w:eastAsia="黑体" w:cstheme="minorBidi"/>
                  <w:sz w:val="21"/>
                  <w:szCs w:val="21"/>
                </w:rPr>
                <w:t>十、其他重要事项说明</w:t>
              </w:r>
            </w:sdtContent>
          </w:sdt>
          <w:r>
            <w:rPr>
              <w:sz w:val="21"/>
              <w:szCs w:val="21"/>
            </w:rPr>
            <w:tab/>
          </w:r>
          <w:bookmarkStart w:id="14" w:name="_Toc812543190_WPSOffice_Level2Page"/>
          <w:r>
            <w:rPr>
              <w:sz w:val="21"/>
              <w:szCs w:val="21"/>
            </w:rPr>
            <w:t>17</w:t>
          </w:r>
          <w:bookmarkEnd w:id="14"/>
          <w:r>
            <w:rPr>
              <w:sz w:val="21"/>
              <w:szCs w:val="21"/>
            </w:rPr>
            <w:fldChar w:fldCharType="end"/>
          </w:r>
        </w:p>
        <w:p>
          <w:pPr>
            <w:pStyle w:val="16"/>
            <w:tabs>
              <w:tab w:val="right" w:leader="dot" w:pos="8306"/>
            </w:tabs>
            <w:rPr>
              <w:sz w:val="21"/>
              <w:szCs w:val="21"/>
            </w:rPr>
          </w:pPr>
          <w:r>
            <w:rPr>
              <w:b/>
              <w:bCs/>
              <w:sz w:val="21"/>
              <w:szCs w:val="21"/>
            </w:rPr>
            <w:fldChar w:fldCharType="begin"/>
          </w:r>
          <w:r>
            <w:rPr>
              <w:sz w:val="21"/>
              <w:szCs w:val="21"/>
            </w:rPr>
            <w:instrText xml:space="preserve"> HYPERLINK \l _Toc695569977_WPSOffice_Level1 </w:instrText>
          </w:r>
          <w:r>
            <w:rPr>
              <w:b/>
              <w:bCs/>
              <w:sz w:val="21"/>
              <w:szCs w:val="21"/>
            </w:rPr>
            <w:fldChar w:fldCharType="separate"/>
          </w:r>
          <w:sdt>
            <w:sdtPr>
              <w:rPr>
                <w:rFonts w:ascii="仿宋_GB2312" w:hAnsi="仿宋_GB2312" w:eastAsia="仿宋_GB2312" w:cstheme="minorBidi"/>
                <w:b/>
                <w:bCs/>
                <w:kern w:val="2"/>
                <w:sz w:val="36"/>
                <w:szCs w:val="28"/>
                <w:lang w:val="en-US" w:eastAsia="zh-CN" w:bidi="ar-SA"/>
              </w:rPr>
              <w:id w:val="575877519"/>
              <w:placeholder>
                <w:docPart w:val="{168b7aa1-962f-44b6-b484-67390d2fe17b}"/>
              </w:placeholder>
            </w:sdtPr>
            <w:sdtEndPr>
              <w:rPr>
                <w:rFonts w:ascii="仿宋_GB2312" w:hAnsi="仿宋_GB2312" w:eastAsia="仿宋_GB2312" w:cstheme="minorBidi"/>
                <w:b/>
                <w:bCs/>
                <w:kern w:val="2"/>
                <w:sz w:val="36"/>
                <w:szCs w:val="28"/>
                <w:lang w:val="en-US" w:eastAsia="zh-CN" w:bidi="ar-SA"/>
              </w:rPr>
            </w:sdtEndPr>
            <w:sdtContent>
              <w:r>
                <w:rPr>
                  <w:rFonts w:hint="eastAsia" w:ascii="黑体" w:hAnsi="黑体" w:eastAsia="黑体" w:cstheme="minorBidi"/>
                  <w:b/>
                  <w:bCs/>
                  <w:sz w:val="21"/>
                  <w:szCs w:val="21"/>
                </w:rPr>
                <w:t>第四部分、名词解释</w:t>
              </w:r>
            </w:sdtContent>
          </w:sdt>
          <w:r>
            <w:rPr>
              <w:b/>
              <w:bCs/>
              <w:sz w:val="21"/>
              <w:szCs w:val="21"/>
            </w:rPr>
            <w:tab/>
          </w:r>
          <w:bookmarkStart w:id="15" w:name="_Toc695569977_WPSOffice_Level1Page"/>
          <w:r>
            <w:rPr>
              <w:b/>
              <w:bCs/>
              <w:sz w:val="21"/>
              <w:szCs w:val="21"/>
            </w:rPr>
            <w:t>18</w:t>
          </w:r>
          <w:bookmarkEnd w:id="15"/>
          <w:r>
            <w:rPr>
              <w:b/>
              <w:bCs/>
              <w:sz w:val="21"/>
              <w:szCs w:val="21"/>
            </w:rPr>
            <w:fldChar w:fldCharType="end"/>
          </w:r>
        </w:p>
        <w:p>
          <w:pPr>
            <w:pStyle w:val="16"/>
            <w:tabs>
              <w:tab w:val="right" w:leader="dot" w:pos="8306"/>
            </w:tabs>
            <w:rPr>
              <w:sz w:val="21"/>
              <w:szCs w:val="21"/>
            </w:rPr>
          </w:pPr>
          <w:r>
            <w:rPr>
              <w:b/>
              <w:bCs/>
              <w:sz w:val="21"/>
              <w:szCs w:val="21"/>
            </w:rPr>
            <w:fldChar w:fldCharType="begin"/>
          </w:r>
          <w:r>
            <w:rPr>
              <w:sz w:val="21"/>
              <w:szCs w:val="21"/>
            </w:rPr>
            <w:instrText xml:space="preserve"> HYPERLINK \l _Toc361076037_WPSOffice_Level1 </w:instrText>
          </w:r>
          <w:r>
            <w:rPr>
              <w:b/>
              <w:bCs/>
              <w:sz w:val="21"/>
              <w:szCs w:val="21"/>
            </w:rPr>
            <w:fldChar w:fldCharType="separate"/>
          </w:r>
          <w:sdt>
            <w:sdtPr>
              <w:rPr>
                <w:rFonts w:ascii="仿宋_GB2312" w:hAnsi="仿宋_GB2312" w:eastAsia="仿宋_GB2312" w:cstheme="minorBidi"/>
                <w:b/>
                <w:bCs/>
                <w:kern w:val="2"/>
                <w:sz w:val="36"/>
                <w:szCs w:val="28"/>
                <w:lang w:val="en-US" w:eastAsia="zh-CN" w:bidi="ar-SA"/>
              </w:rPr>
              <w:id w:val="575877519"/>
              <w:placeholder>
                <w:docPart w:val="{b328bdc6-dae7-4eb9-8223-8750a3b0f3e1}"/>
              </w:placeholder>
            </w:sdtPr>
            <w:sdtEndPr>
              <w:rPr>
                <w:rFonts w:ascii="仿宋_GB2312" w:hAnsi="仿宋_GB2312" w:eastAsia="仿宋_GB2312" w:cstheme="minorBidi"/>
                <w:b/>
                <w:bCs/>
                <w:kern w:val="2"/>
                <w:sz w:val="36"/>
                <w:szCs w:val="28"/>
                <w:lang w:val="en-US" w:eastAsia="zh-CN" w:bidi="ar-SA"/>
              </w:rPr>
            </w:sdtEndPr>
            <w:sdtContent>
              <w:r>
                <w:rPr>
                  <w:rFonts w:hint="eastAsia" w:ascii="黑体" w:hAnsi="黑体" w:eastAsia="黑体" w:cstheme="minorBidi"/>
                  <w:b/>
                  <w:bCs/>
                  <w:sz w:val="21"/>
                  <w:szCs w:val="21"/>
                </w:rPr>
                <w:t>第五部分  项目实施绩效目标表</w:t>
              </w:r>
            </w:sdtContent>
          </w:sdt>
          <w:r>
            <w:rPr>
              <w:b/>
              <w:bCs/>
              <w:sz w:val="21"/>
              <w:szCs w:val="21"/>
            </w:rPr>
            <w:tab/>
          </w:r>
          <w:bookmarkStart w:id="16" w:name="_Toc361076037_WPSOffice_Level1Page"/>
          <w:r>
            <w:rPr>
              <w:b/>
              <w:bCs/>
              <w:sz w:val="21"/>
              <w:szCs w:val="21"/>
            </w:rPr>
            <w:t>21</w:t>
          </w:r>
          <w:bookmarkEnd w:id="16"/>
          <w:r>
            <w:rPr>
              <w:b/>
              <w:bCs/>
              <w:sz w:val="21"/>
              <w:szCs w:val="21"/>
            </w:rPr>
            <w:fldChar w:fldCharType="end"/>
          </w:r>
          <w:bookmarkEnd w:id="0"/>
        </w:p>
      </w:sdtContent>
    </w:sdt>
    <w:p>
      <w:pPr>
        <w:bidi w:val="0"/>
        <w:ind w:left="0" w:leftChars="0" w:firstLine="0" w:firstLineChars="0"/>
        <w:rPr>
          <w:rFonts w:hint="eastAsia"/>
          <w:sz w:val="36"/>
          <w:szCs w:val="28"/>
          <w:lang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default"/>
          <w:lang w:val="en-US" w:eastAsia="zh-CN"/>
        </w:rPr>
      </w:pPr>
      <w:bookmarkStart w:id="17" w:name="_Toc2022668201_WPSOffice_Level1"/>
      <w:bookmarkStart w:id="18" w:name="_Toc961277598_WPSOffice_Level1"/>
      <w:bookmarkStart w:id="19" w:name="_Toc96343119_WPSOffice_Level1"/>
      <w:r>
        <w:rPr>
          <w:rFonts w:hint="eastAsia"/>
          <w:lang w:eastAsia="zh-CN"/>
        </w:rPr>
        <w:t>第一部分</w:t>
      </w:r>
      <w:r>
        <w:rPr>
          <w:rFonts w:hint="eastAsia"/>
          <w:lang w:val="en-US" w:eastAsia="zh-CN"/>
        </w:rPr>
        <w:t xml:space="preserve"> 秦皇岛海事局基本情况</w:t>
      </w:r>
      <w:bookmarkEnd w:id="17"/>
      <w:bookmarkEnd w:id="18"/>
      <w:bookmarkEnd w:id="19"/>
    </w:p>
    <w:p>
      <w:pPr>
        <w:pStyle w:val="4"/>
        <w:bidi w:val="0"/>
        <w:rPr>
          <w:rFonts w:hint="eastAsia"/>
          <w:lang w:val="en-US" w:eastAsia="zh-CN"/>
        </w:rPr>
      </w:pPr>
      <w:bookmarkStart w:id="20" w:name="_Toc670726553_WPSOffice_Level2"/>
      <w:bookmarkStart w:id="21" w:name="_Toc220717348_WPSOffice_Level2"/>
      <w:bookmarkStart w:id="22" w:name="_Toc1383895633_WPSOffice_Level2"/>
      <w:r>
        <w:rPr>
          <w:rFonts w:hint="eastAsia"/>
          <w:lang w:val="en-US" w:eastAsia="zh-CN"/>
        </w:rPr>
        <w:t>一、主要职能</w:t>
      </w:r>
      <w:bookmarkEnd w:id="20"/>
      <w:bookmarkEnd w:id="21"/>
      <w:bookmarkEnd w:id="22"/>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华人民共和国秦皇岛海事局成立于2001年5月22日，主要职责包括贯彻和执行国家海洋管理、环境保护、水上交通安全、航海保障、船舶和水上设施检验等方面的法律、法规和规章；负责辖区内船舶登记工作，负责规定范围内船舶法定配备的操作性手册与文书审核签发工作，负责受理外国籍船舶（包括港澳地区船舶）进入本辖区未开放水域或港口的申请工作，并上报上级海事机构；负责辖区内船员和海上设施工作人员适任资格、培训、考试和发证管理工作、船员服务簿发放及管理、船员专业与特殊培训管理及考试发证工作；负责组织辖区内船舶防台、水上搜寻救助工作，按照管理权限，负责辖区水上交通事故、船舶污染事故、水上交通违章案件调查处理工作；负责实施辖区内港口国管理、船舶安全检查、国际航行船舶进出口岸查验、国内航行船舶进出港签证、强制引航监督、船舶载运危险货物及其他货物的安全监督、靠泊安全监督、防治船舶污染水域监督等工作；负责辖区内通航环境管理与通航秩序维护工作，按照授权，负责辖区水上水下施工安全技术状况审核、锚地和重要水域划定、港区岸线使用审核、航行警（通）告发布等工作。</w:t>
      </w:r>
    </w:p>
    <w:p>
      <w:pPr>
        <w:pStyle w:val="4"/>
        <w:bidi w:val="0"/>
        <w:rPr>
          <w:rFonts w:hint="default"/>
          <w:lang w:val="en-US" w:eastAsia="zh-CN"/>
        </w:rPr>
      </w:pPr>
      <w:bookmarkStart w:id="23" w:name="_Toc1403448511_WPSOffice_Level2"/>
      <w:bookmarkStart w:id="24" w:name="_Toc483309872_WPSOffice_Level2"/>
      <w:bookmarkStart w:id="25" w:name="_Toc1015720099_WPSOffice_Level2"/>
      <w:r>
        <w:rPr>
          <w:rFonts w:hint="eastAsia"/>
          <w:lang w:val="en-US" w:eastAsia="zh-CN"/>
        </w:rPr>
        <w:t>二、机构情况</w:t>
      </w:r>
      <w:bookmarkEnd w:id="23"/>
      <w:bookmarkEnd w:id="24"/>
      <w:bookmarkEnd w:id="25"/>
    </w:p>
    <w:p>
      <w:pPr>
        <w:bidi w:val="0"/>
      </w:pPr>
      <w:r>
        <w:rPr>
          <w:rFonts w:hint="eastAsia" w:ascii="仿宋_GB2312" w:hAnsi="仿宋_GB2312" w:eastAsia="仿宋_GB2312" w:cs="仿宋_GB2312"/>
        </w:rPr>
        <w:t>全局共设有10个内设机构，3个处室办事机构，5个派出机构，其中东港海事处、西港海事处和山海关海事处分别设有2个内设机构以及3个海巡执法大队，北戴河海事处设有2个海巡执法大队，北戴河新区海事处设有1个海巡执法大队。秦皇岛海事局管辖岸线从环海寺地嘴灯塔到滦河口，岸线总长约162.7公里，海域面积约5,900平方公里。辖区有河北远洋、秦皇岛港务集团、山船重工集团、哈动力集团秦皇岛公司、一航局航务五公司等20余家港航企业。有泊位109个（含造船坞1个、修船坞5个），生产泊位87个。辖区共有航道11条，总长48,670.6米。5个锚地（东锚地、西锚地、油轮锚地、十万吨级重载锚地、山海关船厂锚地）。旅游船艇出船点42个。监管船舶种类包括散货船、杂货船、油船、化学品船、客船、集装箱船、旅游船艇以及修造船舶、重大件船舶等，监管船舶的种类比较齐全。机构情况当年无变化。</w:t>
      </w:r>
    </w:p>
    <w:p>
      <w:pPr>
        <w:pStyle w:val="4"/>
        <w:bidi w:val="0"/>
        <w:sectPr>
          <w:footerReference r:id="rId5" w:type="default"/>
          <w:pgSz w:w="11906" w:h="16838"/>
          <w:pgMar w:top="1440" w:right="1800" w:bottom="1440" w:left="1800" w:header="851" w:footer="992" w:gutter="0"/>
          <w:pgNumType w:fmt="decimal" w:start="1"/>
          <w:cols w:space="425" w:num="1"/>
          <w:docGrid w:type="lines" w:linePitch="312" w:charSpace="0"/>
        </w:sectPr>
      </w:pPr>
      <w:bookmarkStart w:id="26" w:name="_Toc670726553_WPSOffice_Level1"/>
      <w:bookmarkStart w:id="27" w:name="_Toc1383895633_WPSOffice_Level1"/>
      <w:r>
        <w:rPr>
          <w:rFonts w:hint="eastAsia"/>
          <w:lang w:eastAsia="zh-CN"/>
        </w:rPr>
        <w:t>第二部分</w:t>
      </w:r>
      <w:r>
        <w:rPr>
          <w:rFonts w:hint="eastAsia"/>
          <w:lang w:val="en-US" w:eastAsia="zh-CN"/>
        </w:rPr>
        <w:t xml:space="preserve"> 部门预算表</w:t>
      </w:r>
      <w:bookmarkEnd w:id="26"/>
      <w:bookmarkEnd w:id="27"/>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47"/>
        <w:gridCol w:w="1084"/>
        <w:gridCol w:w="2182"/>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081" w:type="pct"/>
            <w:tcBorders>
              <w:top w:val="nil"/>
              <w:left w:val="nil"/>
              <w:bottom w:val="nil"/>
              <w:right w:val="nil"/>
            </w:tcBorders>
            <w:shd w:val="clear" w:color="auto" w:fill="auto"/>
            <w:noWrap/>
            <w:vAlign w:val="center"/>
          </w:tcPr>
          <w:p>
            <w:pPr>
              <w:pStyle w:val="4"/>
              <w:bidi w:val="0"/>
              <w:ind w:left="0" w:leftChars="0" w:firstLine="0" w:firstLineChars="0"/>
              <w:rPr>
                <w:rFonts w:hint="default" w:ascii="宋体" w:hAnsi="宋体" w:eastAsia="宋体" w:cs="宋体"/>
                <w:i w:val="0"/>
                <w:color w:val="000000"/>
                <w:szCs w:val="20"/>
                <w:u w:val="none"/>
                <w:lang w:val="en-US" w:eastAsia="zh-CN"/>
              </w:rPr>
            </w:pPr>
          </w:p>
        </w:tc>
        <w:tc>
          <w:tcPr>
            <w:tcW w:w="636"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0"/>
                <w:szCs w:val="20"/>
                <w:u w:val="none"/>
                <w:lang w:eastAsia="zh-CN"/>
              </w:rPr>
            </w:pPr>
          </w:p>
        </w:tc>
        <w:tc>
          <w:tcPr>
            <w:tcW w:w="12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0"/>
                <w:szCs w:val="20"/>
                <w:u w:val="none"/>
              </w:rPr>
            </w:pPr>
          </w:p>
        </w:tc>
        <w:tc>
          <w:tcPr>
            <w:tcW w:w="100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000" w:type="pct"/>
            <w:gridSpan w:val="4"/>
            <w:tcBorders>
              <w:top w:val="nil"/>
              <w:left w:val="nil"/>
              <w:bottom w:val="nil"/>
              <w:right w:val="nil"/>
            </w:tcBorders>
            <w:shd w:val="clear" w:color="auto" w:fill="auto"/>
            <w:noWrap/>
            <w:vAlign w:val="center"/>
          </w:tcPr>
          <w:p>
            <w:pPr>
              <w:bidi w:val="0"/>
              <w:jc w:val="center"/>
              <w:rPr>
                <w:rFonts w:hint="eastAsia" w:ascii="宋体" w:hAnsi="宋体" w:eastAsia="宋体" w:cs="宋体"/>
                <w:b/>
                <w:i w:val="0"/>
                <w:color w:val="000000"/>
                <w:szCs w:val="48"/>
                <w:u w:val="none"/>
              </w:rPr>
            </w:pPr>
            <w:r>
              <w:rPr>
                <w:rFonts w:hint="eastAsia"/>
                <w:b/>
                <w:bCs/>
                <w:lang w:val="en-US" w:eastAsia="zh-CN"/>
              </w:rPr>
              <w:t>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081"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单位：中华人民共和国秦皇岛海事局</w:t>
            </w:r>
          </w:p>
        </w:tc>
        <w:tc>
          <w:tcPr>
            <w:tcW w:w="636" w:type="pct"/>
            <w:tcBorders>
              <w:top w:val="nil"/>
              <w:left w:val="nil"/>
              <w:bottom w:val="nil"/>
              <w:right w:val="nil"/>
            </w:tcBorders>
            <w:shd w:val="clear" w:color="auto" w:fill="auto"/>
            <w:vAlign w:val="center"/>
          </w:tcPr>
          <w:p>
            <w:pPr>
              <w:jc w:val="left"/>
              <w:rPr>
                <w:rFonts w:hint="eastAsia" w:ascii="宋体" w:hAnsi="宋体" w:eastAsia="宋体" w:cs="宋体"/>
                <w:i w:val="0"/>
                <w:color w:val="000000"/>
                <w:sz w:val="18"/>
                <w:szCs w:val="18"/>
                <w:u w:val="none"/>
              </w:rPr>
            </w:pPr>
          </w:p>
        </w:tc>
        <w:tc>
          <w:tcPr>
            <w:tcW w:w="1280" w:type="pct"/>
            <w:tcBorders>
              <w:top w:val="nil"/>
              <w:left w:val="nil"/>
              <w:bottom w:val="nil"/>
              <w:right w:val="nil"/>
            </w:tcBorders>
            <w:shd w:val="clear" w:color="auto" w:fill="auto"/>
            <w:vAlign w:val="center"/>
          </w:tcPr>
          <w:p>
            <w:pPr>
              <w:jc w:val="left"/>
              <w:rPr>
                <w:rFonts w:hint="eastAsia" w:ascii="宋体" w:hAnsi="宋体" w:eastAsia="宋体" w:cs="宋体"/>
                <w:i w:val="0"/>
                <w:color w:val="000000"/>
                <w:sz w:val="18"/>
                <w:szCs w:val="18"/>
                <w:u w:val="none"/>
              </w:rPr>
            </w:pPr>
          </w:p>
        </w:tc>
        <w:tc>
          <w:tcPr>
            <w:tcW w:w="100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部门公开表1</w:t>
            </w:r>
          </w:p>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22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0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一、一般公共预算拨款收入</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5,762.38</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一、社会保障和就业支出</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二、政府性基金预算拨款收入</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二、卫生健康支出</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三、国有资本经营预算拨款收入</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三、交通运输支出</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6,861.93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四、住房保障支出</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五、事业单位经营收入</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六、其他收入</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2,654.08</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8,416.46</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8,790.33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261.87</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结转下年（非财政拨款）</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112.00</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    总    计</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8,790.33</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    总    计</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8,790.33</w:t>
            </w:r>
          </w:p>
        </w:tc>
      </w:tr>
    </w:tbl>
    <w:p>
      <w:pPr>
        <w:pStyle w:val="2"/>
        <w:ind w:left="0" w:leftChars="0" w:firstLine="0" w:firstLineChars="0"/>
        <w:sectPr>
          <w:pgSz w:w="11906" w:h="16838"/>
          <w:pgMar w:top="1440" w:right="1800" w:bottom="1440" w:left="1800" w:header="851" w:footer="992" w:gutter="0"/>
          <w:pgNumType w:fmt="decimal"/>
          <w:cols w:space="425" w:num="1"/>
          <w:docGrid w:type="lines" w:linePitch="312" w:charSpace="0"/>
        </w:sectPr>
      </w:pPr>
    </w:p>
    <w:p>
      <w:pPr>
        <w:pStyle w:val="2"/>
        <w:ind w:left="0" w:leftChars="0" w:firstLine="0" w:firstLineChars="0"/>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9"/>
        <w:gridCol w:w="3079"/>
        <w:gridCol w:w="1107"/>
        <w:gridCol w:w="1236"/>
        <w:gridCol w:w="1350"/>
        <w:gridCol w:w="1577"/>
        <w:gridCol w:w="1350"/>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42" w:type="pct"/>
            <w:tcBorders>
              <w:top w:val="nil"/>
              <w:left w:val="nil"/>
              <w:bottom w:val="nil"/>
              <w:right w:val="nil"/>
            </w:tcBorders>
            <w:shd w:val="clear" w:color="auto" w:fill="auto"/>
            <w:noWrap/>
            <w:vAlign w:val="bottom"/>
          </w:tcPr>
          <w:p>
            <w:pPr>
              <w:bidi w:val="0"/>
              <w:rPr>
                <w:rFonts w:hint="eastAsia"/>
              </w:rPr>
            </w:pPr>
          </w:p>
        </w:tc>
        <w:tc>
          <w:tcPr>
            <w:tcW w:w="1086" w:type="pct"/>
            <w:tcBorders>
              <w:top w:val="nil"/>
              <w:left w:val="nil"/>
              <w:bottom w:val="nil"/>
              <w:right w:val="nil"/>
            </w:tcBorders>
            <w:shd w:val="clear" w:color="auto" w:fill="auto"/>
            <w:noWrap/>
            <w:vAlign w:val="bottom"/>
          </w:tcPr>
          <w:p>
            <w:pPr>
              <w:bidi w:val="0"/>
              <w:rPr>
                <w:rFonts w:hint="default"/>
              </w:rPr>
            </w:pPr>
          </w:p>
        </w:tc>
        <w:tc>
          <w:tcPr>
            <w:tcW w:w="390"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0"/>
                <w:szCs w:val="20"/>
                <w:u w:val="none"/>
              </w:rPr>
            </w:pPr>
          </w:p>
        </w:tc>
        <w:tc>
          <w:tcPr>
            <w:tcW w:w="436"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556"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476"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部门公开表2</w:t>
            </w:r>
          </w:p>
        </w:tc>
        <w:tc>
          <w:tcPr>
            <w:tcW w:w="436"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142" w:type="pct"/>
            <w:tcBorders>
              <w:top w:val="nil"/>
              <w:left w:val="nil"/>
              <w:bottom w:val="nil"/>
              <w:right w:val="nil"/>
            </w:tcBorders>
            <w:shd w:val="clear" w:color="auto" w:fill="auto"/>
            <w:noWrap/>
            <w:vAlign w:val="center"/>
          </w:tcPr>
          <w:p>
            <w:pPr>
              <w:bidi w:val="0"/>
              <w:rPr>
                <w:rFonts w:hint="eastAsia"/>
              </w:rPr>
            </w:pPr>
          </w:p>
        </w:tc>
        <w:tc>
          <w:tcPr>
            <w:tcW w:w="1086" w:type="pct"/>
            <w:tcBorders>
              <w:top w:val="nil"/>
              <w:left w:val="nil"/>
              <w:bottom w:val="nil"/>
              <w:right w:val="nil"/>
            </w:tcBorders>
            <w:shd w:val="clear" w:color="auto" w:fill="auto"/>
            <w:noWrap/>
            <w:vAlign w:val="center"/>
          </w:tcPr>
          <w:p>
            <w:pPr>
              <w:bidi w:val="0"/>
              <w:jc w:val="center"/>
              <w:rPr>
                <w:rFonts w:hint="eastAsia"/>
              </w:rPr>
            </w:pPr>
            <w:r>
              <w:rPr>
                <w:rFonts w:hint="eastAsia"/>
                <w:b/>
                <w:bCs/>
                <w:lang w:val="en-US" w:eastAsia="zh-CN"/>
              </w:rPr>
              <w:t>部门收入总表</w:t>
            </w:r>
          </w:p>
        </w:tc>
        <w:tc>
          <w:tcPr>
            <w:tcW w:w="390" w:type="pct"/>
            <w:tcBorders>
              <w:top w:val="nil"/>
              <w:left w:val="nil"/>
              <w:bottom w:val="nil"/>
              <w:right w:val="nil"/>
            </w:tcBorders>
            <w:shd w:val="clear" w:color="auto" w:fill="auto"/>
            <w:noWrap/>
            <w:vAlign w:val="center"/>
          </w:tcPr>
          <w:p>
            <w:pPr>
              <w:rPr>
                <w:rFonts w:hint="eastAsia" w:ascii="宋体" w:hAnsi="宋体" w:eastAsia="宋体" w:cs="宋体"/>
                <w:b/>
                <w:i w:val="0"/>
                <w:color w:val="000000"/>
                <w:sz w:val="48"/>
                <w:szCs w:val="48"/>
                <w:u w:val="none"/>
              </w:rPr>
            </w:pPr>
          </w:p>
        </w:tc>
        <w:tc>
          <w:tcPr>
            <w:tcW w:w="436" w:type="pct"/>
            <w:tcBorders>
              <w:top w:val="nil"/>
              <w:left w:val="nil"/>
              <w:bottom w:val="nil"/>
              <w:right w:val="nil"/>
            </w:tcBorders>
            <w:shd w:val="clear" w:color="auto" w:fill="auto"/>
            <w:noWrap/>
            <w:vAlign w:val="center"/>
          </w:tcPr>
          <w:p>
            <w:pPr>
              <w:rPr>
                <w:rFonts w:hint="eastAsia" w:ascii="宋体" w:hAnsi="宋体" w:eastAsia="宋体" w:cs="宋体"/>
                <w:b/>
                <w:i w:val="0"/>
                <w:color w:val="000000"/>
                <w:sz w:val="48"/>
                <w:szCs w:val="48"/>
                <w:u w:val="none"/>
              </w:rPr>
            </w:pPr>
          </w:p>
        </w:tc>
        <w:tc>
          <w:tcPr>
            <w:tcW w:w="476" w:type="pct"/>
            <w:tcBorders>
              <w:top w:val="nil"/>
              <w:left w:val="nil"/>
              <w:bottom w:val="nil"/>
              <w:right w:val="nil"/>
            </w:tcBorders>
            <w:shd w:val="clear" w:color="auto" w:fill="auto"/>
            <w:noWrap/>
            <w:vAlign w:val="center"/>
          </w:tcPr>
          <w:p>
            <w:pPr>
              <w:rPr>
                <w:rFonts w:hint="eastAsia" w:ascii="宋体" w:hAnsi="宋体" w:eastAsia="宋体" w:cs="宋体"/>
                <w:b/>
                <w:i w:val="0"/>
                <w:color w:val="000000"/>
                <w:sz w:val="48"/>
                <w:szCs w:val="48"/>
                <w:u w:val="none"/>
              </w:rPr>
            </w:pPr>
          </w:p>
        </w:tc>
        <w:tc>
          <w:tcPr>
            <w:tcW w:w="556" w:type="pct"/>
            <w:tcBorders>
              <w:top w:val="nil"/>
              <w:left w:val="nil"/>
              <w:bottom w:val="nil"/>
              <w:right w:val="nil"/>
            </w:tcBorders>
            <w:shd w:val="clear" w:color="auto" w:fill="auto"/>
            <w:noWrap/>
            <w:vAlign w:val="center"/>
          </w:tcPr>
          <w:p>
            <w:pPr>
              <w:rPr>
                <w:rFonts w:hint="eastAsia" w:ascii="宋体" w:hAnsi="宋体" w:eastAsia="宋体" w:cs="宋体"/>
                <w:b/>
                <w:i w:val="0"/>
                <w:color w:val="000000"/>
                <w:sz w:val="48"/>
                <w:szCs w:val="48"/>
                <w:u w:val="none"/>
              </w:rPr>
            </w:pPr>
          </w:p>
        </w:tc>
        <w:tc>
          <w:tcPr>
            <w:tcW w:w="476"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436" w:type="pct"/>
            <w:tcBorders>
              <w:top w:val="nil"/>
              <w:left w:val="nil"/>
              <w:bottom w:val="nil"/>
              <w:right w:val="nil"/>
            </w:tcBorders>
            <w:shd w:val="clear" w:color="auto" w:fill="auto"/>
            <w:noWrap/>
            <w:vAlign w:val="center"/>
          </w:tcPr>
          <w:p>
            <w:pPr>
              <w:rPr>
                <w:rFonts w:hint="eastAsia" w:ascii="宋体" w:hAnsi="宋体" w:eastAsia="宋体" w:cs="宋体"/>
                <w:b/>
                <w:i w:val="0"/>
                <w:color w:val="000000"/>
                <w:sz w:val="48"/>
                <w:szCs w:val="4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单位：中华人民共和国秦皇岛海事局</w:t>
            </w:r>
          </w:p>
        </w:tc>
        <w:tc>
          <w:tcPr>
            <w:tcW w:w="1086" w:type="pct"/>
            <w:tcBorders>
              <w:top w:val="nil"/>
              <w:left w:val="nil"/>
              <w:bottom w:val="nil"/>
              <w:right w:val="nil"/>
            </w:tcBorders>
            <w:shd w:val="clear" w:color="auto" w:fill="auto"/>
            <w:vAlign w:val="center"/>
          </w:tcPr>
          <w:p>
            <w:pPr>
              <w:rPr>
                <w:rFonts w:hint="eastAsia" w:ascii="宋体" w:hAnsi="宋体" w:eastAsia="宋体" w:cs="宋体"/>
                <w:i w:val="0"/>
                <w:color w:val="000000"/>
                <w:sz w:val="16"/>
                <w:szCs w:val="16"/>
                <w:u w:val="none"/>
              </w:rPr>
            </w:pPr>
          </w:p>
        </w:tc>
        <w:tc>
          <w:tcPr>
            <w:tcW w:w="390" w:type="pct"/>
            <w:tcBorders>
              <w:top w:val="nil"/>
              <w:left w:val="nil"/>
              <w:bottom w:val="nil"/>
              <w:right w:val="nil"/>
            </w:tcBorders>
            <w:shd w:val="clear" w:color="auto" w:fill="auto"/>
            <w:vAlign w:val="center"/>
          </w:tcPr>
          <w:p>
            <w:pPr>
              <w:rPr>
                <w:rFonts w:hint="eastAsia" w:ascii="宋体" w:hAnsi="宋体" w:eastAsia="宋体" w:cs="宋体"/>
                <w:i w:val="0"/>
                <w:color w:val="000000"/>
                <w:sz w:val="16"/>
                <w:szCs w:val="16"/>
                <w:u w:val="none"/>
              </w:rPr>
            </w:pPr>
          </w:p>
        </w:tc>
        <w:tc>
          <w:tcPr>
            <w:tcW w:w="436" w:type="pct"/>
            <w:tcBorders>
              <w:top w:val="nil"/>
              <w:left w:val="nil"/>
              <w:bottom w:val="nil"/>
              <w:right w:val="nil"/>
            </w:tcBorders>
            <w:shd w:val="clear" w:color="auto" w:fill="auto"/>
            <w:vAlign w:val="center"/>
          </w:tcPr>
          <w:p>
            <w:pPr>
              <w:rPr>
                <w:rFonts w:hint="eastAsia" w:ascii="宋体" w:hAnsi="宋体" w:eastAsia="宋体" w:cs="宋体"/>
                <w:i w:val="0"/>
                <w:color w:val="000000"/>
                <w:sz w:val="16"/>
                <w:szCs w:val="16"/>
                <w:u w:val="none"/>
              </w:rPr>
            </w:pPr>
          </w:p>
        </w:tc>
        <w:tc>
          <w:tcPr>
            <w:tcW w:w="476" w:type="pct"/>
            <w:tcBorders>
              <w:top w:val="nil"/>
              <w:left w:val="nil"/>
              <w:bottom w:val="nil"/>
              <w:right w:val="nil"/>
            </w:tcBorders>
            <w:shd w:val="clear" w:color="auto" w:fill="auto"/>
            <w:vAlign w:val="center"/>
          </w:tcPr>
          <w:p>
            <w:pPr>
              <w:rPr>
                <w:rFonts w:hint="eastAsia" w:ascii="宋体" w:hAnsi="宋体" w:eastAsia="宋体" w:cs="宋体"/>
                <w:i w:val="0"/>
                <w:color w:val="000000"/>
                <w:sz w:val="16"/>
                <w:szCs w:val="16"/>
                <w:u w:val="none"/>
              </w:rPr>
            </w:pPr>
          </w:p>
        </w:tc>
        <w:tc>
          <w:tcPr>
            <w:tcW w:w="55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c>
          <w:tcPr>
            <w:tcW w:w="47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16"/>
                <w:szCs w:val="16"/>
                <w:u w:val="none"/>
              </w:rPr>
            </w:pPr>
          </w:p>
        </w:tc>
        <w:tc>
          <w:tcPr>
            <w:tcW w:w="436" w:type="pct"/>
            <w:tcBorders>
              <w:top w:val="nil"/>
              <w:left w:val="nil"/>
              <w:bottom w:val="nil"/>
              <w:right w:val="nil"/>
            </w:tcBorders>
            <w:shd w:val="clear" w:color="auto" w:fill="auto"/>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单位名称</w:t>
            </w:r>
          </w:p>
        </w:tc>
        <w:tc>
          <w:tcPr>
            <w:tcW w:w="10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w:t>
            </w:r>
          </w:p>
        </w:tc>
        <w:tc>
          <w:tcPr>
            <w:tcW w:w="1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本年收入</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使用非财政拨款结余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其他资金</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一般公共预算拨款</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其他收入</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中华人民共和国秦皇岛海事局</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8,790.33</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112.00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112.00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8,416.46</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5,762.38</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2,654.08</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6"/>
                <w:szCs w:val="16"/>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112.00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112.00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8,416.46</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5,762.38</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2,654.08</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261.87</w:t>
            </w:r>
          </w:p>
        </w:tc>
      </w:tr>
    </w:tbl>
    <w:p>
      <w:pPr>
        <w:pStyle w:val="2"/>
        <w:sectPr>
          <w:pgSz w:w="16838" w:h="11906" w:orient="landscape"/>
          <w:pgMar w:top="1800" w:right="1440" w:bottom="1800" w:left="1440" w:header="851" w:footer="992" w:gutter="0"/>
          <w:pgNumType w:fmt="decimal"/>
          <w:cols w:space="425" w:num="1"/>
          <w:docGrid w:type="lines" w:linePitch="312" w:charSpace="0"/>
        </w:sectPr>
      </w:pPr>
    </w:p>
    <w:p>
      <w:pPr>
        <w:ind w:left="0" w:leftChars="0" w:firstLine="0" w:firstLineChars="0"/>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5"/>
        <w:gridCol w:w="1931"/>
        <w:gridCol w:w="1576"/>
        <w:gridCol w:w="3801"/>
        <w:gridCol w:w="5074"/>
        <w:gridCol w:w="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52" w:type="pct"/>
            <w:tcBorders>
              <w:top w:val="nil"/>
              <w:left w:val="nil"/>
              <w:bottom w:val="nil"/>
              <w:right w:val="nil"/>
            </w:tcBorders>
            <w:shd w:val="clear" w:color="auto" w:fill="auto"/>
            <w:noWrap/>
            <w:vAlign w:val="bottom"/>
          </w:tcPr>
          <w:p>
            <w:pPr>
              <w:rPr>
                <w:rFonts w:hint="eastAsia" w:ascii="Calibri" w:hAnsi="Calibri" w:cs="Calibri"/>
                <w:i w:val="0"/>
                <w:color w:val="000000"/>
                <w:sz w:val="20"/>
                <w:szCs w:val="20"/>
                <w:u w:val="none"/>
              </w:rPr>
            </w:pPr>
          </w:p>
        </w:tc>
        <w:tc>
          <w:tcPr>
            <w:tcW w:w="681"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555"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1340"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1789" w:type="pct"/>
            <w:tcBorders>
              <w:top w:val="nil"/>
              <w:left w:val="nil"/>
              <w:bottom w:val="nil"/>
              <w:right w:val="nil"/>
            </w:tcBorders>
            <w:shd w:val="clear" w:color="auto" w:fill="auto"/>
            <w:noWrap/>
            <w:vAlign w:val="bottom"/>
          </w:tcPr>
          <w:p>
            <w:pPr>
              <w:keepNext w:val="0"/>
              <w:keepLines w:val="0"/>
              <w:widowControl/>
              <w:suppressLineNumbers w:val="0"/>
              <w:ind w:firstLine="2200" w:firstLineChars="1100"/>
              <w:jc w:val="left"/>
              <w:textAlignment w:val="bottom"/>
              <w:rPr>
                <w:rFonts w:ascii="方正书宋_GBK" w:hAnsi="方正书宋_GBK" w:eastAsia="方正书宋_GBK" w:cs="方正书宋_GBK"/>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部门公开表</w:t>
            </w:r>
            <w:r>
              <w:rPr>
                <w:rStyle w:val="11"/>
                <w:rFonts w:eastAsia="方正书宋_GBK"/>
                <w:lang w:val="en-US" w:eastAsia="zh-CN" w:bidi="ar"/>
              </w:rPr>
              <w:t xml:space="preserve">3  </w:t>
            </w:r>
            <w:r>
              <w:rPr>
                <w:rStyle w:val="12"/>
                <w:lang w:val="en-US" w:eastAsia="zh-CN" w:bidi="ar"/>
              </w:rPr>
              <w:t>单位：万元</w:t>
            </w:r>
          </w:p>
        </w:tc>
        <w:tc>
          <w:tcPr>
            <w:tcW w:w="80"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6"/>
            <w:tcBorders>
              <w:top w:val="nil"/>
              <w:left w:val="nil"/>
              <w:bottom w:val="nil"/>
              <w:right w:val="nil"/>
            </w:tcBorders>
            <w:shd w:val="clear" w:color="auto" w:fill="auto"/>
            <w:noWrap/>
            <w:vAlign w:val="center"/>
          </w:tcPr>
          <w:p>
            <w:pPr>
              <w:bidi w:val="0"/>
              <w:jc w:val="center"/>
              <w:rPr>
                <w:rFonts w:hint="eastAsia" w:ascii="宋体" w:hAnsi="宋体" w:eastAsia="宋体" w:cs="宋体"/>
                <w:b/>
                <w:i w:val="0"/>
                <w:color w:val="000000"/>
                <w:szCs w:val="48"/>
                <w:u w:val="none"/>
              </w:rPr>
            </w:pPr>
            <w:r>
              <w:rPr>
                <w:rFonts w:hint="eastAsia"/>
                <w:b/>
                <w:bCs/>
                <w:lang w:val="en-US" w:eastAsia="zh-CN"/>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919"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单位：中华人民共和国秦皇岛海事局</w:t>
            </w:r>
          </w:p>
        </w:tc>
        <w:tc>
          <w:tcPr>
            <w:tcW w:w="80"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科目代码</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科目名称</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基本支出</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项目支出</w:t>
            </w:r>
          </w:p>
        </w:tc>
        <w:tc>
          <w:tcPr>
            <w:tcW w:w="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社会保障和就业支出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869.08</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869.08</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20805</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行政事业单位养老支出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869.08</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869.08</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2080501</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行政单位离退休</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187.00</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187.00</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2080505</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机关事业单位基本养老保险缴费支出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454.72</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454.72</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2080506</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机关事业单位职业年金缴费支出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227.36</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227.36</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卫生健康支出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664.32</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664.32</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21011</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行政事业单位医疗</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664.32</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664.32</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2101101</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行政单位医疗</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664.32</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664.32</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214</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交通运输支出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6,861.93</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6,112.95</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748.98</w:t>
            </w:r>
          </w:p>
        </w:tc>
        <w:tc>
          <w:tcPr>
            <w:tcW w:w="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21401</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公路水路运输</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6,861.93</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6,112.95</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748.98</w:t>
            </w:r>
          </w:p>
        </w:tc>
        <w:tc>
          <w:tcPr>
            <w:tcW w:w="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2140131</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海事管理</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6,861.93</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6,112.95</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748.98</w:t>
            </w:r>
          </w:p>
        </w:tc>
        <w:tc>
          <w:tcPr>
            <w:tcW w:w="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住房保障支出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395.00</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395.00</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22102</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住房改革支出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395.00</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395.00</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2210201</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住房公积金</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395.00</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395.00</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        计</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8,790.33</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8,041.35</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748.98</w:t>
            </w:r>
          </w:p>
        </w:tc>
        <w:tc>
          <w:tcPr>
            <w:tcW w:w="80" w:type="pct"/>
            <w:tcBorders>
              <w:top w:val="nil"/>
              <w:left w:val="nil"/>
              <w:bottom w:val="nil"/>
              <w:right w:val="nil"/>
            </w:tcBorders>
            <w:shd w:val="clear" w:color="auto" w:fill="auto"/>
            <w:noWrap/>
            <w:vAlign w:val="center"/>
          </w:tcPr>
          <w:p>
            <w:pPr>
              <w:jc w:val="left"/>
              <w:rPr>
                <w:rFonts w:hint="eastAsia" w:ascii="宋体" w:hAnsi="宋体" w:eastAsia="宋体" w:cs="宋体"/>
                <w:b/>
                <w:i w:val="0"/>
                <w:color w:val="000000"/>
                <w:sz w:val="16"/>
                <w:szCs w:val="16"/>
                <w:u w:val="none"/>
              </w:rPr>
            </w:pPr>
          </w:p>
        </w:tc>
      </w:tr>
    </w:tbl>
    <w:p>
      <w:pPr>
        <w:pStyle w:val="2"/>
        <w:sectPr>
          <w:pgSz w:w="16838" w:h="11906" w:orient="landscape"/>
          <w:pgMar w:top="1800" w:right="1440" w:bottom="1800" w:left="1440" w:header="851" w:footer="992" w:gutter="0"/>
          <w:pgNumType w:fmt="decimal"/>
          <w:cols w:space="425" w:num="1"/>
          <w:docGrid w:type="lines" w:linePitch="312" w:charSpace="0"/>
        </w:sectPr>
      </w:pPr>
    </w:p>
    <w:p>
      <w:pPr>
        <w:ind w:left="0" w:leftChars="0" w:firstLine="0" w:firstLineChars="0"/>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07"/>
        <w:gridCol w:w="2174"/>
        <w:gridCol w:w="4609"/>
        <w:gridCol w:w="2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5" w:type="pct"/>
            <w:tcBorders>
              <w:top w:val="nil"/>
              <w:left w:val="nil"/>
              <w:bottom w:val="nil"/>
              <w:right w:val="nil"/>
            </w:tcBorders>
            <w:shd w:val="clear" w:color="auto" w:fill="auto"/>
            <w:noWrap/>
            <w:vAlign w:val="bottom"/>
          </w:tcPr>
          <w:p>
            <w:pPr>
              <w:rPr>
                <w:rFonts w:hint="eastAsia" w:ascii="Calibri" w:hAnsi="Calibri" w:cs="Calibri"/>
                <w:i w:val="0"/>
                <w:color w:val="000000"/>
                <w:sz w:val="20"/>
                <w:szCs w:val="20"/>
                <w:u w:val="none"/>
              </w:rPr>
            </w:pPr>
          </w:p>
        </w:tc>
        <w:tc>
          <w:tcPr>
            <w:tcW w:w="766"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1625"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98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4"/>
            <w:tcBorders>
              <w:top w:val="nil"/>
              <w:left w:val="nil"/>
              <w:bottom w:val="nil"/>
              <w:right w:val="nil"/>
            </w:tcBorders>
            <w:shd w:val="clear" w:color="auto" w:fill="auto"/>
            <w:noWrap/>
            <w:vAlign w:val="center"/>
          </w:tcPr>
          <w:p>
            <w:pPr>
              <w:bidi w:val="0"/>
              <w:jc w:val="center"/>
              <w:rPr>
                <w:rFonts w:hint="eastAsia" w:ascii="宋体" w:hAnsi="宋体" w:eastAsia="宋体" w:cs="宋体"/>
                <w:b/>
                <w:i w:val="0"/>
                <w:color w:val="000000"/>
                <w:szCs w:val="48"/>
                <w:u w:val="none"/>
              </w:rPr>
            </w:pPr>
            <w:r>
              <w:rPr>
                <w:rFonts w:hint="eastAsia"/>
                <w:b/>
                <w:bCs/>
                <w:lang w:val="en-US" w:eastAsia="zh-CN"/>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18"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单位：中华人民共和国秦皇岛海事局</w:t>
            </w:r>
          </w:p>
        </w:tc>
        <w:tc>
          <w:tcPr>
            <w:tcW w:w="98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2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5,762.38</w:t>
            </w: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一、本年支出</w:t>
            </w: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5,762.38</w:t>
            </w: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（一）社会保障和就业支出</w:t>
            </w: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（二）卫生健康支出</w:t>
            </w: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（三）交通运输支出</w:t>
            </w: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18"/>
                <w:szCs w:val="1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（四）住房保障支出</w:t>
            </w: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二、上年结转</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18"/>
                <w:szCs w:val="18"/>
                <w:u w:val="none"/>
              </w:rPr>
            </w:pP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18"/>
                <w:szCs w:val="18"/>
                <w:u w:val="none"/>
              </w:rPr>
            </w:pP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18"/>
                <w:szCs w:val="18"/>
                <w:u w:val="none"/>
              </w:rPr>
            </w:pP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18"/>
                <w:szCs w:val="18"/>
                <w:u w:val="none"/>
              </w:rPr>
            </w:pP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收    入    总    计</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5,762.38</w:t>
            </w: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支    出    总    计</w:t>
            </w: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5,762.38</w:t>
            </w:r>
          </w:p>
        </w:tc>
      </w:tr>
    </w:tbl>
    <w:p>
      <w:pPr>
        <w:pStyle w:val="2"/>
        <w:ind w:left="0" w:leftChars="0" w:firstLine="0" w:firstLineChars="0"/>
      </w:pPr>
    </w:p>
    <w:p>
      <w:pPr>
        <w:rPr>
          <w:rFonts w:hint="eastAsia" w:ascii="Calibri" w:hAnsi="Calibri" w:cs="Calibri"/>
          <w:i w:val="0"/>
          <w:color w:val="000000"/>
          <w:sz w:val="20"/>
          <w:szCs w:val="20"/>
          <w:u w:val="none"/>
        </w:rPr>
        <w:sectPr>
          <w:pgSz w:w="16838" w:h="11906" w:orient="landscape"/>
          <w:pgMar w:top="1800" w:right="1440" w:bottom="1800" w:left="1440" w:header="851" w:footer="992" w:gutter="0"/>
          <w:pgNumType w:fmt="decimal"/>
          <w:cols w:space="425" w:num="1"/>
          <w:docGrid w:type="lines" w:linePitch="312" w:charSpace="0"/>
        </w:sect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0"/>
        <w:gridCol w:w="4344"/>
        <w:gridCol w:w="1527"/>
        <w:gridCol w:w="1527"/>
        <w:gridCol w:w="1527"/>
        <w:gridCol w:w="1379"/>
        <w:gridCol w:w="1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14" w:type="pct"/>
            <w:tcBorders>
              <w:top w:val="nil"/>
              <w:left w:val="nil"/>
              <w:bottom w:val="nil"/>
              <w:right w:val="nil"/>
            </w:tcBorders>
            <w:shd w:val="clear" w:color="auto" w:fill="auto"/>
            <w:noWrap/>
            <w:vAlign w:val="bottom"/>
          </w:tcPr>
          <w:p>
            <w:pPr>
              <w:rPr>
                <w:rFonts w:hint="eastAsia" w:ascii="Calibri" w:hAnsi="Calibri" w:cs="Calibri"/>
                <w:i w:val="0"/>
                <w:color w:val="000000"/>
                <w:sz w:val="20"/>
                <w:szCs w:val="20"/>
                <w:u w:val="none"/>
              </w:rPr>
            </w:pPr>
          </w:p>
        </w:tc>
        <w:tc>
          <w:tcPr>
            <w:tcW w:w="1065"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704"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704"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704"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704"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70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7"/>
            <w:tcBorders>
              <w:top w:val="nil"/>
              <w:left w:val="nil"/>
              <w:bottom w:val="nil"/>
              <w:right w:val="nil"/>
            </w:tcBorders>
            <w:shd w:val="clear" w:color="auto" w:fill="auto"/>
            <w:noWrap/>
            <w:vAlign w:val="center"/>
          </w:tcPr>
          <w:p>
            <w:pPr>
              <w:bidi w:val="0"/>
              <w:jc w:val="center"/>
              <w:rPr>
                <w:rFonts w:hint="eastAsia" w:ascii="宋体" w:hAnsi="宋体" w:eastAsia="宋体" w:cs="宋体"/>
                <w:b/>
                <w:i w:val="0"/>
                <w:color w:val="000000"/>
                <w:szCs w:val="48"/>
                <w:u w:val="none"/>
              </w:rPr>
            </w:pPr>
            <w:r>
              <w:rPr>
                <w:rFonts w:hint="eastAsia"/>
                <w:b/>
                <w:bCs/>
                <w:lang w:val="en-US" w:eastAsia="zh-CN"/>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295"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单位：中华人民共和国秦皇岛海事局</w:t>
            </w:r>
          </w:p>
        </w:tc>
        <w:tc>
          <w:tcPr>
            <w:tcW w:w="70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科目代码</w:t>
            </w:r>
          </w:p>
        </w:tc>
        <w:tc>
          <w:tcPr>
            <w:tcW w:w="10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35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778.33</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778.33</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778.33</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20805</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行政事业单位养老支出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778.33</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778.33</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778.33</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2080501</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2080505</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376.15</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376.15</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376.15</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2080506</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215.18</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215.18</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215.18</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407.74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407.74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407.74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21011</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407.74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407.74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407.74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2101101</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407.74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407.74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407.74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交通运输支出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4,250.31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3,523.00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2,648.00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21401</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公路水路运输</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4,250.31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3,523.00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2,648.00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2140131</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海事管理</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4,250.31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3,523.00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2,648.00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22102</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住房改革支出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2210201</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b/>
                <w:i w:val="0"/>
                <w:color w:val="000000"/>
                <w:sz w:val="20"/>
                <w:szCs w:val="20"/>
                <w:u w:val="none"/>
              </w:rPr>
            </w:pPr>
            <w:r>
              <w:rPr>
                <w:rFonts w:hint="default" w:ascii="Calibri" w:hAnsi="Calibri" w:eastAsia="宋体" w:cs="Calibri"/>
                <w:b/>
                <w:i w:val="0"/>
                <w:color w:val="000000"/>
                <w:kern w:val="0"/>
                <w:sz w:val="20"/>
                <w:szCs w:val="20"/>
                <w:u w:val="none"/>
                <w:lang w:val="en-US" w:eastAsia="zh-CN" w:bidi="ar"/>
              </w:rPr>
              <w:t>合               计</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5,762.38</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5,035.07</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4,160.07</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875.00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727.31</w:t>
            </w:r>
          </w:p>
        </w:tc>
      </w:tr>
    </w:tbl>
    <w:p>
      <w:pPr>
        <w:sectPr>
          <w:pgSz w:w="16838" w:h="11906" w:orient="landscape"/>
          <w:pgMar w:top="1800" w:right="1440" w:bottom="1800" w:left="1440" w:header="851" w:footer="992" w:gutter="0"/>
          <w:pgNumType w:fmt="decimal"/>
          <w:cols w:space="425" w:num="1"/>
          <w:docGrid w:type="lines" w:linePitch="312" w:charSpace="0"/>
        </w:sectPr>
      </w:pPr>
    </w:p>
    <w:p>
      <w:pPr>
        <w:pStyle w:val="2"/>
      </w:pPr>
    </w:p>
    <w:p>
      <w:pPr>
        <w:pStyle w:val="2"/>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0"/>
        <w:gridCol w:w="2190"/>
        <w:gridCol w:w="2190"/>
        <w:gridCol w:w="2190"/>
        <w:gridCol w:w="2199"/>
        <w:gridCol w:w="3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3" w:type="pct"/>
            <w:tcBorders>
              <w:top w:val="nil"/>
              <w:left w:val="nil"/>
              <w:bottom w:val="nil"/>
              <w:right w:val="nil"/>
            </w:tcBorders>
            <w:shd w:val="clear" w:color="auto" w:fill="auto"/>
            <w:noWrap/>
            <w:vAlign w:val="bottom"/>
          </w:tcPr>
          <w:p>
            <w:pPr>
              <w:rPr>
                <w:rFonts w:hint="eastAsia" w:ascii="Calibri" w:hAnsi="Calibri" w:cs="Calibri"/>
                <w:i w:val="0"/>
                <w:color w:val="000000"/>
                <w:sz w:val="20"/>
                <w:szCs w:val="20"/>
                <w:u w:val="none"/>
              </w:rPr>
            </w:pPr>
          </w:p>
        </w:tc>
        <w:tc>
          <w:tcPr>
            <w:tcW w:w="773"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773"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773"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774" w:type="pct"/>
            <w:tcBorders>
              <w:top w:val="nil"/>
              <w:left w:val="nil"/>
              <w:bottom w:val="nil"/>
              <w:right w:val="nil"/>
            </w:tcBorders>
            <w:shd w:val="clear" w:color="auto" w:fill="auto"/>
            <w:noWrap/>
            <w:vAlign w:val="bottom"/>
          </w:tcPr>
          <w:p>
            <w:pPr>
              <w:rPr>
                <w:rFonts w:hint="default" w:ascii="Calibri" w:hAnsi="Calibri" w:cs="Calibri"/>
                <w:i w:val="0"/>
                <w:color w:val="000000"/>
                <w:sz w:val="20"/>
                <w:szCs w:val="20"/>
                <w:u w:val="none"/>
              </w:rPr>
            </w:pPr>
          </w:p>
        </w:tc>
        <w:tc>
          <w:tcPr>
            <w:tcW w:w="113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i w:val="0"/>
                <w:color w:val="000000"/>
                <w:sz w:val="48"/>
                <w:szCs w:val="48"/>
                <w:u w:val="none"/>
                <w:lang w:val="en-US"/>
              </w:rPr>
            </w:pPr>
            <w:r>
              <w:rPr>
                <w:rFonts w:hint="eastAsia" w:ascii="仿宋_GB2312" w:hAnsi="仿宋_GB2312" w:eastAsia="仿宋_GB2312" w:cs="仿宋_GB2312"/>
                <w:b/>
                <w:i w:val="0"/>
                <w:color w:val="000000"/>
                <w:kern w:val="0"/>
                <w:sz w:val="32"/>
                <w:szCs w:val="32"/>
                <w:u w:val="none"/>
                <w:lang w:val="en-US" w:eastAsia="zh-CN" w:bidi="ar"/>
              </w:rPr>
              <w:t>财政拨款预算“三公”经费支出表</w:t>
            </w:r>
            <w:r>
              <w:rPr>
                <w:rFonts w:hint="eastAsia" w:ascii="宋体" w:hAnsi="宋体" w:eastAsia="宋体" w:cs="宋体"/>
                <w:b/>
                <w:i w:val="0"/>
                <w:color w:val="000000"/>
                <w:kern w:val="0"/>
                <w:sz w:val="48"/>
                <w:szCs w:val="4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48"/>
                <w:szCs w:val="4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3868"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单位：中华人民共和国秦皇岛海事局</w:t>
            </w:r>
          </w:p>
        </w:tc>
        <w:tc>
          <w:tcPr>
            <w:tcW w:w="113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部门公开表6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“三公”经费合计</w:t>
            </w: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1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79.20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Arial" w:hAnsi="Arial" w:cs="Arial"/>
                <w:i w:val="0"/>
                <w:color w:val="000000"/>
                <w:sz w:val="20"/>
                <w:szCs w:val="20"/>
                <w:u w:val="none"/>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79.00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24.00</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55.00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0.20</w:t>
            </w:r>
          </w:p>
        </w:tc>
      </w:tr>
    </w:tbl>
    <w:p>
      <w:pPr>
        <w:pStyle w:val="2"/>
        <w:ind w:left="0" w:leftChars="0" w:firstLine="0" w:firstLineChars="0"/>
        <w:sectPr>
          <w:pgSz w:w="16838" w:h="11906" w:orient="landscape"/>
          <w:pgMar w:top="1800" w:right="1440" w:bottom="1800" w:left="1440" w:header="851" w:footer="992" w:gutter="0"/>
          <w:pgNumType w:fmt="decimal"/>
          <w:cols w:space="425" w:num="1"/>
          <w:docGrid w:type="lines" w:linePitch="312" w:charSpace="0"/>
        </w:sectPr>
      </w:pPr>
    </w:p>
    <w:p>
      <w:pPr>
        <w:pStyle w:val="4"/>
        <w:bidi w:val="0"/>
        <w:ind w:left="0" w:leftChars="0" w:firstLine="0" w:firstLineChars="0"/>
        <w:rPr>
          <w:rFonts w:hint="eastAsia"/>
        </w:rPr>
      </w:pPr>
      <w:bookmarkStart w:id="28" w:name="_Toc220717348_WPSOffice_Level1"/>
      <w:bookmarkStart w:id="29" w:name="_Toc483309872_WPSOffice_Level1"/>
      <w:bookmarkStart w:id="30" w:name="_Toc1015720099_WPSOffice_Level1"/>
      <w:r>
        <w:rPr>
          <w:rFonts w:hint="eastAsia"/>
        </w:rPr>
        <w:t>第三部分</w:t>
      </w:r>
      <w:r>
        <w:t>  </w:t>
      </w:r>
      <w:r>
        <w:rPr>
          <w:rFonts w:hint="eastAsia"/>
          <w:lang w:eastAsia="zh-CN"/>
        </w:rPr>
        <w:t>秦皇岛</w:t>
      </w:r>
      <w:r>
        <w:rPr>
          <w:rFonts w:hint="eastAsia"/>
        </w:rPr>
        <w:t>海事局部门预算情况说明</w:t>
      </w:r>
      <w:bookmarkEnd w:id="28"/>
      <w:bookmarkEnd w:id="29"/>
      <w:bookmarkEnd w:id="30"/>
    </w:p>
    <w:p>
      <w:pPr>
        <w:pStyle w:val="4"/>
        <w:bidi w:val="0"/>
        <w:ind w:left="0" w:leftChars="0" w:firstLine="0" w:firstLineChars="0"/>
        <w:rPr>
          <w:rFonts w:ascii="Calibri" w:hAnsi="Calibri" w:eastAsia="宋体" w:cs="Calibri"/>
          <w:color w:val="333333"/>
          <w:kern w:val="0"/>
          <w:sz w:val="21"/>
          <w:szCs w:val="21"/>
          <w14:ligatures w14:val="none"/>
        </w:rPr>
      </w:pPr>
      <w:bookmarkStart w:id="31" w:name="_Toc1474494433_WPSOffice_Level2"/>
      <w:bookmarkStart w:id="32" w:name="_Toc465595231_WPSOffice_Level2"/>
      <w:bookmarkStart w:id="33" w:name="_Toc695569977_WPSOffice_Level2"/>
      <w:r>
        <w:rPr>
          <w:rFonts w:hint="eastAsia" w:ascii="黑体" w:hAnsi="黑体" w:eastAsia="黑体" w:cs="Times New Roman"/>
          <w:color w:val="333333"/>
          <w:kern w:val="0"/>
          <w:sz w:val="32"/>
          <w:szCs w:val="32"/>
          <w14:ligatures w14:val="none"/>
        </w:rPr>
        <w:t>一、关于部门收支总表的说明</w:t>
      </w:r>
      <w:bookmarkEnd w:id="31"/>
      <w:bookmarkEnd w:id="32"/>
      <w:bookmarkEnd w:id="33"/>
    </w:p>
    <w:p>
      <w:pPr>
        <w:widowControl/>
        <w:shd w:val="clear" w:color="auto" w:fill="FFFFFF"/>
        <w:spacing w:after="0" w:line="585" w:lineRule="atLeast"/>
        <w:ind w:firstLine="630"/>
        <w:jc w:val="both"/>
        <w:rPr>
          <w:rFonts w:ascii="Calibri" w:hAnsi="Calibri" w:eastAsia="宋体" w:cs="Calibri"/>
          <w:color w:val="333333"/>
          <w:kern w:val="0"/>
          <w:sz w:val="21"/>
          <w:szCs w:val="21"/>
          <w14:ligatures w14:val="none"/>
        </w:rPr>
      </w:pPr>
      <w:r>
        <w:rPr>
          <w:rFonts w:hint="eastAsia" w:ascii="仿宋_GB2312" w:hAnsi="Calibri" w:eastAsia="仿宋_GB2312" w:cs="Calibri"/>
          <w:b/>
          <w:bCs/>
          <w:color w:val="333333"/>
          <w:kern w:val="0"/>
          <w:sz w:val="32"/>
          <w:szCs w:val="32"/>
          <w14:ligatures w14:val="none"/>
        </w:rPr>
        <w:t>（一）收入预算</w:t>
      </w:r>
    </w:p>
    <w:p>
      <w:pPr>
        <w:bidi w:val="0"/>
        <w:rPr>
          <w:rFonts w:hint="eastAsia"/>
          <w:lang w:eastAsia="zh-CN"/>
        </w:rPr>
      </w:pPr>
      <w:r>
        <w:rPr>
          <w:rFonts w:hint="eastAsia"/>
        </w:rPr>
        <w:t>1.一般公共预算拨款收入</w:t>
      </w:r>
      <w:r>
        <w:rPr>
          <w:rFonts w:hint="eastAsia"/>
          <w:lang w:val="en-US" w:eastAsia="zh-CN"/>
        </w:rPr>
        <w:t>5762.38</w:t>
      </w:r>
      <w:r>
        <w:rPr>
          <w:rFonts w:hint="eastAsia"/>
        </w:rPr>
        <w:t>万元，较上年初</w:t>
      </w:r>
      <w:r>
        <w:rPr>
          <w:rFonts w:hint="eastAsia"/>
          <w:lang w:eastAsia="zh-CN"/>
        </w:rPr>
        <w:t>增加</w:t>
      </w:r>
      <w:r>
        <w:rPr>
          <w:rFonts w:hint="eastAsia"/>
          <w:lang w:val="en-US" w:eastAsia="zh-CN"/>
        </w:rPr>
        <w:t>97.06</w:t>
      </w:r>
      <w:r>
        <w:rPr>
          <w:rFonts w:hint="eastAsia"/>
        </w:rPr>
        <w:t>万元，</w:t>
      </w:r>
      <w:r>
        <w:rPr>
          <w:rFonts w:hint="eastAsia"/>
          <w:lang w:eastAsia="zh-CN"/>
        </w:rPr>
        <w:t>增加</w:t>
      </w:r>
      <w:r>
        <w:rPr>
          <w:rFonts w:hint="eastAsia"/>
          <w:lang w:val="en-US" w:eastAsia="zh-CN"/>
        </w:rPr>
        <w:t>1.71</w:t>
      </w:r>
      <w:r>
        <w:rPr>
          <w:rFonts w:hint="eastAsia"/>
        </w:rPr>
        <w:t>%</w:t>
      </w:r>
      <w:r>
        <w:rPr>
          <w:rFonts w:hint="eastAsia"/>
          <w:lang w:eastAsia="zh-CN"/>
        </w:rPr>
        <w:t>。主要原因为我单位预算编制更加合理，根据实际情况，财政部门批准的预算拨款增加。</w:t>
      </w:r>
    </w:p>
    <w:p>
      <w:pPr>
        <w:bidi w:val="0"/>
        <w:rPr>
          <w:rFonts w:hint="default"/>
          <w:lang w:val="en-US" w:eastAsia="zh-CN"/>
        </w:rPr>
      </w:pPr>
      <w:r>
        <w:rPr>
          <w:rFonts w:hint="eastAsia"/>
        </w:rPr>
        <w:t>2.其他收入</w:t>
      </w:r>
      <w:r>
        <w:rPr>
          <w:rFonts w:hint="eastAsia"/>
          <w:lang w:val="en-US" w:eastAsia="zh-CN"/>
        </w:rPr>
        <w:t>2654.08</w:t>
      </w:r>
      <w:r>
        <w:rPr>
          <w:rFonts w:hint="eastAsia"/>
        </w:rPr>
        <w:t>万元，较上年初</w:t>
      </w:r>
      <w:r>
        <w:rPr>
          <w:rFonts w:hint="eastAsia"/>
          <w:lang w:eastAsia="zh-CN"/>
        </w:rPr>
        <w:t>增加</w:t>
      </w:r>
      <w:r>
        <w:rPr>
          <w:rFonts w:hint="eastAsia"/>
          <w:lang w:val="en-US" w:eastAsia="zh-CN"/>
        </w:rPr>
        <w:t>678.96</w:t>
      </w:r>
      <w:r>
        <w:rPr>
          <w:rFonts w:hint="eastAsia"/>
        </w:rPr>
        <w:t>万元，</w:t>
      </w:r>
      <w:r>
        <w:rPr>
          <w:rFonts w:hint="eastAsia"/>
          <w:lang w:eastAsia="zh-CN"/>
        </w:rPr>
        <w:t>增加</w:t>
      </w:r>
      <w:r>
        <w:rPr>
          <w:rFonts w:hint="eastAsia"/>
          <w:lang w:val="en-US" w:eastAsia="zh-CN"/>
        </w:rPr>
        <w:t>34.38</w:t>
      </w:r>
      <w:r>
        <w:rPr>
          <w:rFonts w:hint="eastAsia"/>
        </w:rPr>
        <w:t>%</w:t>
      </w:r>
      <w:r>
        <w:rPr>
          <w:rFonts w:hint="eastAsia"/>
          <w:lang w:eastAsia="zh-CN"/>
        </w:rPr>
        <w:t>。</w:t>
      </w:r>
      <w:r>
        <w:rPr>
          <w:rFonts w:hint="eastAsia"/>
        </w:rPr>
        <w:t>3.使用非财政拨款结余</w:t>
      </w:r>
      <w:r>
        <w:rPr>
          <w:rFonts w:hint="eastAsia"/>
          <w:lang w:val="en-US" w:eastAsia="zh-CN"/>
        </w:rPr>
        <w:t>261.87</w:t>
      </w:r>
      <w:r>
        <w:rPr>
          <w:rFonts w:hint="eastAsia"/>
        </w:rPr>
        <w:t>万元，较上年初减少</w:t>
      </w:r>
      <w:r>
        <w:rPr>
          <w:rFonts w:hint="eastAsia"/>
          <w:lang w:val="en-US" w:eastAsia="zh-CN"/>
        </w:rPr>
        <w:t>296.11</w:t>
      </w:r>
      <w:r>
        <w:rPr>
          <w:rFonts w:hint="eastAsia"/>
        </w:rPr>
        <w:t>万元，下降</w:t>
      </w:r>
      <w:r>
        <w:rPr>
          <w:rFonts w:hint="eastAsia"/>
          <w:lang w:val="en-US" w:eastAsia="zh-CN"/>
        </w:rPr>
        <w:t>53.07</w:t>
      </w:r>
      <w:r>
        <w:rPr>
          <w:rFonts w:hint="eastAsia"/>
        </w:rPr>
        <w:t>%</w:t>
      </w:r>
      <w:r>
        <w:rPr>
          <w:rFonts w:hint="eastAsia"/>
          <w:lang w:eastAsia="zh-CN"/>
        </w:rPr>
        <w:t>。主要原因为</w:t>
      </w:r>
      <w:r>
        <w:rPr>
          <w:rFonts w:hint="eastAsia"/>
          <w:lang w:val="en-US" w:eastAsia="zh-CN"/>
        </w:rPr>
        <w:t>2024年度我单位进行了社保资金补缴工作，导致结余资金减少。</w:t>
      </w:r>
    </w:p>
    <w:p>
      <w:pPr>
        <w:bidi w:val="0"/>
        <w:rPr>
          <w:rFonts w:hint="eastAsia"/>
          <w:lang w:eastAsia="zh-CN"/>
        </w:rPr>
      </w:pPr>
      <w:r>
        <w:rPr>
          <w:rFonts w:hint="eastAsia"/>
          <w:lang w:val="en-US" w:eastAsia="zh-CN"/>
        </w:rPr>
        <w:t>4.</w:t>
      </w:r>
      <w:r>
        <w:rPr>
          <w:rFonts w:hint="eastAsia"/>
        </w:rPr>
        <w:t>上年结转</w:t>
      </w:r>
      <w:r>
        <w:rPr>
          <w:rFonts w:hint="eastAsia"/>
          <w:lang w:val="en-US" w:eastAsia="zh-CN"/>
        </w:rPr>
        <w:t>112.00</w:t>
      </w:r>
      <w:r>
        <w:rPr>
          <w:rFonts w:hint="eastAsia"/>
        </w:rPr>
        <w:t>万元，较上年初</w:t>
      </w:r>
      <w:r>
        <w:rPr>
          <w:rFonts w:hint="eastAsia"/>
          <w:lang w:eastAsia="zh-CN"/>
        </w:rPr>
        <w:t>结转资金</w:t>
      </w:r>
      <w:r>
        <w:rPr>
          <w:rFonts w:hint="eastAsia"/>
        </w:rPr>
        <w:t>增加</w:t>
      </w:r>
      <w:r>
        <w:rPr>
          <w:rFonts w:hint="eastAsia"/>
          <w:lang w:val="en-US" w:eastAsia="zh-CN"/>
        </w:rPr>
        <w:t>96.25</w:t>
      </w:r>
      <w:r>
        <w:rPr>
          <w:rFonts w:hint="eastAsia"/>
        </w:rPr>
        <w:t>万元</w:t>
      </w:r>
      <w:r>
        <w:rPr>
          <w:rFonts w:hint="eastAsia"/>
          <w:lang w:eastAsia="zh-CN"/>
        </w:rPr>
        <w:t>，增加</w:t>
      </w:r>
      <w:r>
        <w:rPr>
          <w:rFonts w:hint="eastAsia"/>
          <w:lang w:val="en-US" w:eastAsia="zh-CN"/>
        </w:rPr>
        <w:t>611.11</w:t>
      </w:r>
      <w:r>
        <w:rPr>
          <w:rFonts w:hint="eastAsia"/>
        </w:rPr>
        <w:t>%</w:t>
      </w:r>
      <w:r>
        <w:rPr>
          <w:rFonts w:hint="eastAsia"/>
          <w:lang w:eastAsia="zh-CN"/>
        </w:rPr>
        <w:t>。</w:t>
      </w:r>
    </w:p>
    <w:p>
      <w:pPr>
        <w:widowControl/>
        <w:shd w:val="clear" w:color="auto" w:fill="FFFFFF"/>
        <w:spacing w:after="0" w:line="585" w:lineRule="atLeast"/>
        <w:ind w:firstLine="645"/>
        <w:jc w:val="both"/>
        <w:rPr>
          <w:rFonts w:ascii="Calibri" w:hAnsi="Calibri" w:eastAsia="宋体" w:cs="Calibri"/>
          <w:color w:val="333333"/>
          <w:kern w:val="0"/>
          <w:sz w:val="21"/>
          <w:szCs w:val="21"/>
          <w14:ligatures w14:val="none"/>
        </w:rPr>
      </w:pPr>
      <w:r>
        <w:rPr>
          <w:rFonts w:hint="eastAsia" w:ascii="仿宋_GB2312" w:hAnsi="Calibri" w:eastAsia="仿宋_GB2312" w:cs="Calibri"/>
          <w:b/>
          <w:bCs/>
          <w:color w:val="333333"/>
          <w:kern w:val="0"/>
          <w:sz w:val="32"/>
          <w:szCs w:val="32"/>
          <w14:ligatures w14:val="none"/>
        </w:rPr>
        <w:t>（二）支出预算</w:t>
      </w:r>
    </w:p>
    <w:p>
      <w:pPr>
        <w:widowControl/>
        <w:shd w:val="clear" w:color="auto" w:fill="FFFFFF"/>
        <w:spacing w:after="0" w:line="585" w:lineRule="atLeast"/>
        <w:ind w:firstLine="645"/>
        <w:jc w:val="both"/>
        <w:rPr>
          <w:rFonts w:hint="eastAsia"/>
        </w:rPr>
      </w:pPr>
      <w:r>
        <w:rPr>
          <w:rFonts w:hint="eastAsia" w:ascii="仿宋_GB2312" w:hAnsi="Calibri" w:eastAsia="仿宋_GB2312" w:cs="Calibri"/>
          <w:b/>
          <w:bCs/>
          <w:color w:val="333333"/>
          <w:kern w:val="0"/>
          <w:sz w:val="32"/>
          <w:szCs w:val="32"/>
          <w14:ligatures w14:val="none"/>
        </w:rPr>
        <w:t>1.社会保障和就业支出</w:t>
      </w:r>
      <w:r>
        <w:rPr>
          <w:rFonts w:hint="eastAsia" w:hAnsi="Calibri" w:cs="Calibri"/>
          <w:b/>
          <w:bCs/>
          <w:color w:val="333333"/>
          <w:kern w:val="0"/>
          <w:sz w:val="32"/>
          <w:szCs w:val="32"/>
          <w:lang w:eastAsia="zh-CN"/>
          <w14:ligatures w14:val="none"/>
        </w:rPr>
        <w:t>预算</w:t>
      </w:r>
      <w:r>
        <w:rPr>
          <w:rFonts w:hint="eastAsia"/>
          <w:lang w:val="en-US" w:eastAsia="zh-CN"/>
        </w:rPr>
        <w:t>869.08</w:t>
      </w:r>
      <w:r>
        <w:rPr>
          <w:rFonts w:hint="eastAsia"/>
        </w:rPr>
        <w:t>万元，较上年初减少</w:t>
      </w:r>
      <w:r>
        <w:rPr>
          <w:rFonts w:hint="eastAsia"/>
          <w:lang w:val="en-US" w:eastAsia="zh-CN"/>
        </w:rPr>
        <w:t>559.04</w:t>
      </w:r>
      <w:r>
        <w:rPr>
          <w:rFonts w:hint="eastAsia"/>
        </w:rPr>
        <w:t>万元，下降</w:t>
      </w:r>
      <w:r>
        <w:rPr>
          <w:rFonts w:hint="eastAsia"/>
          <w:lang w:val="en-US" w:eastAsia="zh-CN"/>
        </w:rPr>
        <w:t>39.15</w:t>
      </w:r>
      <w:r>
        <w:rPr>
          <w:rFonts w:hint="eastAsia"/>
        </w:rPr>
        <w:t>%。</w:t>
      </w:r>
      <w:r>
        <w:rPr>
          <w:rFonts w:hint="eastAsia"/>
          <w:lang w:eastAsia="zh-CN"/>
        </w:rPr>
        <w:t>主要原因为人员编制调整。</w:t>
      </w:r>
    </w:p>
    <w:p>
      <w:pPr>
        <w:widowControl/>
        <w:shd w:val="clear" w:color="auto" w:fill="FFFFFF"/>
        <w:spacing w:after="0" w:line="585" w:lineRule="atLeast"/>
        <w:ind w:firstLine="645"/>
        <w:jc w:val="both"/>
        <w:rPr>
          <w:rFonts w:hint="eastAsia"/>
        </w:rPr>
      </w:pPr>
      <w:r>
        <w:rPr>
          <w:rFonts w:hint="eastAsia" w:hAnsi="Calibri" w:cs="Calibri"/>
          <w:b/>
          <w:bCs/>
          <w:color w:val="333333"/>
          <w:kern w:val="0"/>
          <w:sz w:val="32"/>
          <w:szCs w:val="32"/>
          <w:lang w:val="en-US" w:eastAsia="zh-CN"/>
          <w14:ligatures w14:val="none"/>
        </w:rPr>
        <w:t>2.</w:t>
      </w:r>
      <w:r>
        <w:rPr>
          <w:rFonts w:hint="eastAsia" w:ascii="仿宋_GB2312" w:hAnsi="Calibri" w:eastAsia="仿宋_GB2312" w:cs="Calibri"/>
          <w:b/>
          <w:bCs/>
          <w:color w:val="333333"/>
          <w:kern w:val="0"/>
          <w:sz w:val="32"/>
          <w:szCs w:val="32"/>
          <w14:ligatures w14:val="none"/>
        </w:rPr>
        <w:t>卫生健康支出</w:t>
      </w:r>
      <w:r>
        <w:rPr>
          <w:rFonts w:hint="eastAsia" w:hAnsi="Calibri" w:cs="Calibri"/>
          <w:b/>
          <w:bCs/>
          <w:color w:val="333333"/>
          <w:kern w:val="0"/>
          <w:sz w:val="32"/>
          <w:szCs w:val="32"/>
          <w:lang w:eastAsia="zh-CN"/>
          <w14:ligatures w14:val="none"/>
        </w:rPr>
        <w:t>预算</w:t>
      </w:r>
      <w:r>
        <w:rPr>
          <w:rFonts w:hint="eastAsia"/>
          <w:lang w:val="en-US" w:eastAsia="zh-CN"/>
        </w:rPr>
        <w:t>664.32</w:t>
      </w:r>
      <w:r>
        <w:rPr>
          <w:rFonts w:hint="eastAsia"/>
        </w:rPr>
        <w:t>万元，较上年初</w:t>
      </w:r>
      <w:r>
        <w:rPr>
          <w:rFonts w:hint="eastAsia"/>
          <w:lang w:eastAsia="zh-CN"/>
        </w:rPr>
        <w:t>增加</w:t>
      </w:r>
      <w:r>
        <w:rPr>
          <w:rFonts w:hint="eastAsia"/>
          <w:lang w:val="en-US" w:eastAsia="zh-CN"/>
        </w:rPr>
        <w:t>244.12</w:t>
      </w:r>
      <w:r>
        <w:rPr>
          <w:rFonts w:hint="eastAsia"/>
        </w:rPr>
        <w:t>万元，</w:t>
      </w:r>
      <w:r>
        <w:rPr>
          <w:rFonts w:hint="eastAsia"/>
          <w:lang w:eastAsia="zh-CN"/>
        </w:rPr>
        <w:t>增加</w:t>
      </w:r>
      <w:r>
        <w:rPr>
          <w:rFonts w:hint="eastAsia"/>
          <w:lang w:val="en-US" w:eastAsia="zh-CN"/>
        </w:rPr>
        <w:t>58.10</w:t>
      </w:r>
      <w:r>
        <w:rPr>
          <w:rFonts w:hint="eastAsia"/>
        </w:rPr>
        <w:t>%。</w:t>
      </w:r>
      <w:r>
        <w:rPr>
          <w:rFonts w:hint="eastAsia"/>
          <w:lang w:eastAsia="zh-CN"/>
        </w:rPr>
        <w:t>主要原因为人员编制调整。</w:t>
      </w:r>
    </w:p>
    <w:p>
      <w:pPr>
        <w:widowControl/>
        <w:shd w:val="clear" w:color="auto" w:fill="FFFFFF"/>
        <w:spacing w:after="0" w:line="585" w:lineRule="atLeast"/>
        <w:ind w:firstLine="645"/>
        <w:jc w:val="both"/>
        <w:rPr>
          <w:rFonts w:hint="eastAsia"/>
          <w:lang w:eastAsia="zh-CN"/>
        </w:rPr>
      </w:pPr>
      <w:r>
        <w:rPr>
          <w:rFonts w:hint="eastAsia" w:hAnsi="Calibri" w:cs="Calibri"/>
          <w:b/>
          <w:bCs/>
          <w:color w:val="333333"/>
          <w:kern w:val="0"/>
          <w:sz w:val="32"/>
          <w:szCs w:val="32"/>
          <w:lang w:val="en-US" w:eastAsia="zh-CN"/>
          <w14:ligatures w14:val="none"/>
        </w:rPr>
        <w:t>3.</w:t>
      </w:r>
      <w:r>
        <w:rPr>
          <w:rFonts w:hint="eastAsia" w:ascii="仿宋_GB2312" w:hAnsi="Calibri" w:eastAsia="仿宋_GB2312" w:cs="Calibri"/>
          <w:b/>
          <w:bCs/>
          <w:color w:val="333333"/>
          <w:kern w:val="0"/>
          <w:sz w:val="32"/>
          <w:szCs w:val="32"/>
          <w14:ligatures w14:val="none"/>
        </w:rPr>
        <w:t>交通运输支出</w:t>
      </w:r>
      <w:r>
        <w:rPr>
          <w:rFonts w:hint="eastAsia" w:hAnsi="Calibri" w:cs="Calibri"/>
          <w:b/>
          <w:bCs/>
          <w:color w:val="333333"/>
          <w:kern w:val="0"/>
          <w:sz w:val="32"/>
          <w:szCs w:val="32"/>
          <w:lang w:eastAsia="zh-CN"/>
          <w14:ligatures w14:val="none"/>
        </w:rPr>
        <w:t>预算</w:t>
      </w:r>
      <w:r>
        <w:rPr>
          <w:rFonts w:hint="eastAsia"/>
          <w:lang w:val="en-US" w:eastAsia="zh-CN"/>
        </w:rPr>
        <w:t>6861.93</w:t>
      </w:r>
      <w:r>
        <w:rPr>
          <w:rFonts w:hint="eastAsia"/>
        </w:rPr>
        <w:t>万元，较上年初</w:t>
      </w:r>
      <w:r>
        <w:rPr>
          <w:rFonts w:hint="eastAsia"/>
          <w:lang w:eastAsia="zh-CN"/>
        </w:rPr>
        <w:t>增加</w:t>
      </w:r>
      <w:r>
        <w:rPr>
          <w:rFonts w:hint="eastAsia"/>
          <w:lang w:val="en-US" w:eastAsia="zh-CN"/>
        </w:rPr>
        <w:t>887.08</w:t>
      </w:r>
      <w:r>
        <w:rPr>
          <w:rFonts w:hint="eastAsia"/>
        </w:rPr>
        <w:t>万元，</w:t>
      </w:r>
      <w:r>
        <w:rPr>
          <w:rFonts w:hint="eastAsia"/>
          <w:lang w:eastAsia="zh-CN"/>
        </w:rPr>
        <w:t>增加</w:t>
      </w:r>
      <w:r>
        <w:rPr>
          <w:rFonts w:hint="eastAsia"/>
          <w:lang w:val="en-US" w:eastAsia="zh-CN"/>
        </w:rPr>
        <w:t>14.85</w:t>
      </w:r>
      <w:r>
        <w:rPr>
          <w:rFonts w:hint="eastAsia"/>
        </w:rPr>
        <w:t>%</w:t>
      </w:r>
      <w:r>
        <w:rPr>
          <w:rFonts w:hint="eastAsia"/>
          <w:lang w:eastAsia="zh-CN"/>
        </w:rPr>
        <w:t>。主要原因为业务活动量较去年上涨。</w:t>
      </w:r>
    </w:p>
    <w:p>
      <w:pPr>
        <w:widowControl/>
        <w:shd w:val="clear" w:color="auto" w:fill="FFFFFF"/>
        <w:spacing w:after="0" w:line="585" w:lineRule="atLeast"/>
        <w:ind w:firstLine="645"/>
        <w:jc w:val="both"/>
        <w:rPr>
          <w:rFonts w:hint="eastAsia"/>
          <w:lang w:eastAsia="zh-CN"/>
        </w:rPr>
      </w:pPr>
      <w:r>
        <w:rPr>
          <w:rFonts w:hint="eastAsia" w:hAnsi="Calibri" w:cs="Calibri"/>
          <w:b/>
          <w:bCs/>
          <w:color w:val="333333"/>
          <w:kern w:val="0"/>
          <w:sz w:val="32"/>
          <w:szCs w:val="32"/>
          <w:lang w:val="en-US" w:eastAsia="zh-CN"/>
          <w14:ligatures w14:val="none"/>
        </w:rPr>
        <w:t>4.</w:t>
      </w:r>
      <w:r>
        <w:rPr>
          <w:rFonts w:hint="eastAsia" w:ascii="仿宋_GB2312" w:hAnsi="Calibri" w:eastAsia="仿宋_GB2312" w:cs="Calibri"/>
          <w:b/>
          <w:bCs/>
          <w:color w:val="333333"/>
          <w:kern w:val="0"/>
          <w:sz w:val="32"/>
          <w:szCs w:val="32"/>
          <w14:ligatures w14:val="none"/>
        </w:rPr>
        <w:t>住房保障支出</w:t>
      </w:r>
      <w:r>
        <w:rPr>
          <w:rFonts w:hint="eastAsia" w:hAnsi="Calibri" w:cs="Calibri"/>
          <w:b/>
          <w:bCs/>
          <w:color w:val="333333"/>
          <w:kern w:val="0"/>
          <w:sz w:val="32"/>
          <w:szCs w:val="32"/>
          <w:lang w:eastAsia="zh-CN"/>
          <w14:ligatures w14:val="none"/>
        </w:rPr>
        <w:t>预算</w:t>
      </w:r>
      <w:r>
        <w:rPr>
          <w:rFonts w:hint="eastAsia" w:hAnsi="Calibri" w:cs="Calibri"/>
          <w:color w:val="333333"/>
          <w:kern w:val="0"/>
          <w:sz w:val="32"/>
          <w:szCs w:val="32"/>
          <w:lang w:val="en-US" w:eastAsia="zh-CN"/>
          <w14:ligatures w14:val="none"/>
        </w:rPr>
        <w:t>3</w:t>
      </w:r>
      <w:r>
        <w:rPr>
          <w:rFonts w:hint="eastAsia"/>
          <w:lang w:val="en-US" w:eastAsia="zh-CN"/>
        </w:rPr>
        <w:t>95.00</w:t>
      </w:r>
      <w:r>
        <w:rPr>
          <w:rFonts w:hint="eastAsia"/>
        </w:rPr>
        <w:t>万元，较上年初增加</w:t>
      </w:r>
      <w:r>
        <w:rPr>
          <w:rFonts w:hint="eastAsia"/>
          <w:lang w:val="en-US" w:eastAsia="zh-CN"/>
        </w:rPr>
        <w:t>4.00</w:t>
      </w:r>
      <w:r>
        <w:rPr>
          <w:rFonts w:hint="eastAsia"/>
        </w:rPr>
        <w:t>万元，</w:t>
      </w:r>
      <w:r>
        <w:rPr>
          <w:rFonts w:hint="eastAsia"/>
          <w:lang w:eastAsia="zh-CN"/>
        </w:rPr>
        <w:t>增加</w:t>
      </w:r>
      <w:r>
        <w:rPr>
          <w:rFonts w:hint="eastAsia"/>
          <w:lang w:val="en-US" w:eastAsia="zh-CN"/>
        </w:rPr>
        <w:t>1.02%</w:t>
      </w:r>
      <w:r>
        <w:rPr>
          <w:rFonts w:hint="eastAsia"/>
          <w:lang w:eastAsia="zh-CN"/>
        </w:rPr>
        <w:t>。主要原因为人员编制调整。</w:t>
      </w:r>
      <w:bookmarkStart w:id="68" w:name="_GoBack"/>
      <w:bookmarkEnd w:id="68"/>
    </w:p>
    <w:p>
      <w:pPr>
        <w:pStyle w:val="4"/>
        <w:bidi w:val="0"/>
      </w:pPr>
      <w:bookmarkStart w:id="34" w:name="_Toc361076037_WPSOffice_Level2"/>
      <w:bookmarkStart w:id="35" w:name="_Toc455480019_WPSOffice_Level2"/>
      <w:bookmarkStart w:id="36" w:name="_Toc1357356570_WPSOffice_Level2"/>
      <w:r>
        <w:rPr>
          <w:rFonts w:hint="eastAsia"/>
        </w:rPr>
        <w:t>二、关于部门收入总表的说明</w:t>
      </w:r>
      <w:bookmarkEnd w:id="34"/>
      <w:bookmarkEnd w:id="35"/>
      <w:bookmarkEnd w:id="36"/>
    </w:p>
    <w:p>
      <w:pPr>
        <w:bidi w:val="0"/>
        <w:rPr>
          <w:rFonts w:hint="eastAsia"/>
        </w:rPr>
      </w:pPr>
      <w:r>
        <w:rPr>
          <w:rFonts w:hint="eastAsia"/>
          <w:lang w:val="en-US" w:eastAsia="zh-CN"/>
        </w:rPr>
        <w:t>2025</w:t>
      </w:r>
      <w:r>
        <w:rPr>
          <w:rFonts w:hint="eastAsia"/>
        </w:rPr>
        <w:t>年初，</w:t>
      </w:r>
      <w:r>
        <w:rPr>
          <w:rFonts w:hint="eastAsia"/>
          <w:lang w:eastAsia="zh-CN"/>
        </w:rPr>
        <w:t>秦皇岛</w:t>
      </w:r>
      <w:r>
        <w:rPr>
          <w:rFonts w:hint="eastAsia"/>
        </w:rPr>
        <w:t>海事局</w:t>
      </w:r>
      <w:r>
        <w:rPr>
          <w:rFonts w:hint="eastAsia"/>
          <w:lang w:eastAsia="zh-CN"/>
        </w:rPr>
        <w:t>预计</w:t>
      </w:r>
      <w:r>
        <w:rPr>
          <w:rFonts w:hint="eastAsia"/>
        </w:rPr>
        <w:t>收入总计</w:t>
      </w:r>
      <w:r>
        <w:rPr>
          <w:rFonts w:hint="eastAsia"/>
          <w:lang w:val="en-US" w:eastAsia="zh-CN"/>
        </w:rPr>
        <w:t>8790.33</w:t>
      </w:r>
      <w:r>
        <w:rPr>
          <w:rFonts w:hint="eastAsia"/>
        </w:rPr>
        <w:t>万元，其中，一般公共预算财政拨款收入</w:t>
      </w:r>
      <w:r>
        <w:rPr>
          <w:rFonts w:hint="eastAsia"/>
          <w:lang w:val="en-US" w:eastAsia="zh-CN"/>
        </w:rPr>
        <w:t>5762.38</w:t>
      </w:r>
      <w:r>
        <w:rPr>
          <w:rFonts w:hint="eastAsia"/>
        </w:rPr>
        <w:t>万元，占</w:t>
      </w:r>
      <w:r>
        <w:rPr>
          <w:rFonts w:hint="eastAsia"/>
          <w:lang w:eastAsia="zh-CN"/>
        </w:rPr>
        <w:t>比</w:t>
      </w:r>
      <w:r>
        <w:rPr>
          <w:rFonts w:hint="eastAsia"/>
          <w:lang w:val="en-US" w:eastAsia="zh-CN"/>
        </w:rPr>
        <w:t>65.55</w:t>
      </w:r>
      <w:r>
        <w:rPr>
          <w:rFonts w:hint="eastAsia"/>
        </w:rPr>
        <w:t>%；上年结转</w:t>
      </w:r>
      <w:r>
        <w:rPr>
          <w:rFonts w:hint="eastAsia"/>
          <w:lang w:val="en-US" w:eastAsia="zh-CN"/>
        </w:rPr>
        <w:t>112.00</w:t>
      </w:r>
      <w:r>
        <w:rPr>
          <w:rFonts w:hint="eastAsia"/>
        </w:rPr>
        <w:t>万元，占</w:t>
      </w:r>
      <w:r>
        <w:rPr>
          <w:rFonts w:hint="eastAsia"/>
          <w:lang w:eastAsia="zh-CN"/>
        </w:rPr>
        <w:t>比</w:t>
      </w:r>
      <w:r>
        <w:rPr>
          <w:rFonts w:hint="eastAsia"/>
          <w:lang w:val="en-US" w:eastAsia="zh-CN"/>
        </w:rPr>
        <w:t>1.27</w:t>
      </w:r>
      <w:r>
        <w:rPr>
          <w:rFonts w:hint="eastAsia"/>
        </w:rPr>
        <w:t>%；使用非财政拨款结余</w:t>
      </w:r>
      <w:r>
        <w:rPr>
          <w:rFonts w:hint="eastAsia"/>
          <w:lang w:val="en-US" w:eastAsia="zh-CN"/>
        </w:rPr>
        <w:t>261.87</w:t>
      </w:r>
      <w:r>
        <w:rPr>
          <w:rFonts w:hint="eastAsia"/>
        </w:rPr>
        <w:t>万元，占</w:t>
      </w:r>
      <w:r>
        <w:rPr>
          <w:rFonts w:hint="eastAsia"/>
          <w:lang w:eastAsia="zh-CN"/>
        </w:rPr>
        <w:t>比</w:t>
      </w:r>
      <w:r>
        <w:rPr>
          <w:rFonts w:hint="eastAsia"/>
          <w:lang w:val="en-US" w:eastAsia="zh-CN"/>
        </w:rPr>
        <w:t>2.98</w:t>
      </w:r>
      <w:r>
        <w:rPr>
          <w:rFonts w:hint="eastAsia"/>
        </w:rPr>
        <w:t>%；其他收入</w:t>
      </w:r>
      <w:r>
        <w:rPr>
          <w:rFonts w:hint="eastAsia"/>
          <w:lang w:val="en-US" w:eastAsia="zh-CN"/>
        </w:rPr>
        <w:t>2654.08</w:t>
      </w:r>
      <w:r>
        <w:rPr>
          <w:rFonts w:hint="eastAsia"/>
        </w:rPr>
        <w:t>万元，占</w:t>
      </w:r>
      <w:r>
        <w:rPr>
          <w:rFonts w:hint="eastAsia"/>
          <w:lang w:eastAsia="zh-CN"/>
        </w:rPr>
        <w:t>比</w:t>
      </w:r>
      <w:r>
        <w:rPr>
          <w:rFonts w:hint="eastAsia"/>
          <w:lang w:val="en-US" w:eastAsia="zh-CN"/>
        </w:rPr>
        <w:t>30.19</w:t>
      </w:r>
      <w:r>
        <w:rPr>
          <w:rFonts w:hint="eastAsia"/>
        </w:rPr>
        <w:t>%。</w:t>
      </w:r>
    </w:p>
    <w:p>
      <w:pPr>
        <w:pStyle w:val="2"/>
      </w:pPr>
      <w:r>
        <w:drawing>
          <wp:anchor distT="0" distB="0" distL="114300" distR="114300" simplePos="0" relativeHeight="251658240" behindDoc="0" locked="0" layoutInCell="1" allowOverlap="1">
            <wp:simplePos x="0" y="0"/>
            <wp:positionH relativeFrom="column">
              <wp:posOffset>100330</wp:posOffset>
            </wp:positionH>
            <wp:positionV relativeFrom="paragraph">
              <wp:posOffset>184785</wp:posOffset>
            </wp:positionV>
            <wp:extent cx="5054600" cy="2153285"/>
            <wp:effectExtent l="5080" t="4445" r="7620" b="1397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4"/>
        <w:bidi w:val="0"/>
        <w:rPr>
          <w:rFonts w:hint="eastAsia"/>
        </w:rPr>
      </w:pPr>
      <w:bookmarkStart w:id="37" w:name="_Toc104982336_WPSOffice_Level2"/>
      <w:bookmarkStart w:id="38" w:name="_Toc1671302517_WPSOffice_Level2"/>
      <w:bookmarkStart w:id="39" w:name="_Toc943912669_WPSOffice_Level2"/>
      <w:r>
        <w:rPr>
          <w:rFonts w:hint="eastAsia"/>
        </w:rPr>
        <w:t>三、关于部门支出总表的说明 </w:t>
      </w:r>
      <w:bookmarkEnd w:id="37"/>
      <w:bookmarkEnd w:id="38"/>
      <w:bookmarkEnd w:id="39"/>
    </w:p>
    <w:p>
      <w:pPr>
        <w:bidi w:val="0"/>
        <w:rPr>
          <w:rFonts w:hint="eastAsia"/>
        </w:rPr>
      </w:pPr>
      <w:r>
        <w:rPr>
          <w:rFonts w:hint="eastAsia"/>
        </w:rPr>
        <w:drawing>
          <wp:anchor distT="0" distB="0" distL="114300" distR="114300" simplePos="0" relativeHeight="251659264" behindDoc="0" locked="0" layoutInCell="1" allowOverlap="1">
            <wp:simplePos x="0" y="0"/>
            <wp:positionH relativeFrom="column">
              <wp:posOffset>370840</wp:posOffset>
            </wp:positionH>
            <wp:positionV relativeFrom="paragraph">
              <wp:posOffset>1263015</wp:posOffset>
            </wp:positionV>
            <wp:extent cx="4245610" cy="2270125"/>
            <wp:effectExtent l="4445" t="4445" r="17145" b="1143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rPr>
        <w:t>202</w:t>
      </w:r>
      <w:r>
        <w:rPr>
          <w:rFonts w:hint="eastAsia"/>
          <w:lang w:val="en-US" w:eastAsia="zh-CN"/>
        </w:rPr>
        <w:t>5</w:t>
      </w:r>
      <w:r>
        <w:rPr>
          <w:rFonts w:hint="eastAsia"/>
        </w:rPr>
        <w:t xml:space="preserve"> 年初， 秦皇岛海事局</w:t>
      </w:r>
      <w:r>
        <w:rPr>
          <w:rFonts w:hint="eastAsia"/>
          <w:lang w:eastAsia="zh-CN"/>
        </w:rPr>
        <w:t>预计</w:t>
      </w:r>
      <w:r>
        <w:rPr>
          <w:rFonts w:hint="eastAsia"/>
        </w:rPr>
        <w:t>支出总计</w:t>
      </w:r>
      <w:r>
        <w:rPr>
          <w:rFonts w:hint="eastAsia"/>
          <w:lang w:val="en-US" w:eastAsia="zh-CN"/>
        </w:rPr>
        <w:t>8790.33</w:t>
      </w:r>
      <w:r>
        <w:rPr>
          <w:rFonts w:hint="eastAsia"/>
        </w:rPr>
        <w:t xml:space="preserve"> 万元，其中基本支出</w:t>
      </w:r>
      <w:r>
        <w:rPr>
          <w:rFonts w:hint="eastAsia"/>
          <w:lang w:val="en-US" w:eastAsia="zh-CN"/>
        </w:rPr>
        <w:t>8041.35</w:t>
      </w:r>
      <w:r>
        <w:rPr>
          <w:rFonts w:hint="eastAsia"/>
        </w:rPr>
        <w:t>万元，占</w:t>
      </w:r>
      <w:r>
        <w:rPr>
          <w:rFonts w:hint="eastAsia"/>
          <w:lang w:eastAsia="zh-CN"/>
        </w:rPr>
        <w:t>比</w:t>
      </w:r>
      <w:r>
        <w:rPr>
          <w:rFonts w:hint="eastAsia"/>
          <w:lang w:val="en-US" w:eastAsia="zh-CN"/>
        </w:rPr>
        <w:t>91.48</w:t>
      </w:r>
      <w:r>
        <w:rPr>
          <w:rFonts w:hint="eastAsia"/>
        </w:rPr>
        <w:t>%。项目支出</w:t>
      </w:r>
      <w:r>
        <w:rPr>
          <w:rFonts w:hint="eastAsia"/>
          <w:lang w:val="en-US" w:eastAsia="zh-CN"/>
        </w:rPr>
        <w:t>748.98</w:t>
      </w:r>
      <w:r>
        <w:rPr>
          <w:rFonts w:hint="eastAsia"/>
        </w:rPr>
        <w:t>万元，占</w:t>
      </w:r>
      <w:r>
        <w:rPr>
          <w:rFonts w:hint="eastAsia"/>
          <w:lang w:eastAsia="zh-CN"/>
        </w:rPr>
        <w:t>比</w:t>
      </w:r>
      <w:r>
        <w:rPr>
          <w:rFonts w:hint="eastAsia"/>
          <w:lang w:val="en-US" w:eastAsia="zh-CN"/>
        </w:rPr>
        <w:t>8.52</w:t>
      </w:r>
      <w:r>
        <w:rPr>
          <w:rFonts w:hint="eastAsia"/>
        </w:rPr>
        <w:t>%。</w:t>
      </w:r>
    </w:p>
    <w:p>
      <w:pPr>
        <w:pStyle w:val="4"/>
        <w:bidi w:val="0"/>
        <w:rPr>
          <w:rFonts w:hint="eastAsia"/>
        </w:rPr>
      </w:pPr>
      <w:bookmarkStart w:id="40" w:name="_Toc1796570371_WPSOffice_Level2"/>
      <w:bookmarkStart w:id="41" w:name="_Toc1389751654_WPSOffice_Level2"/>
      <w:bookmarkStart w:id="42" w:name="_Toc518198994_WPSOffice_Level2"/>
      <w:r>
        <w:rPr>
          <w:rFonts w:hint="eastAsia"/>
        </w:rPr>
        <w:t>四、关于财政拨款收支总表的说明</w:t>
      </w:r>
      <w:bookmarkEnd w:id="40"/>
      <w:bookmarkEnd w:id="41"/>
      <w:bookmarkEnd w:id="42"/>
    </w:p>
    <w:p>
      <w:pPr>
        <w:bidi w:val="0"/>
        <w:rPr>
          <w:rFonts w:hint="eastAsia"/>
        </w:rPr>
      </w:pPr>
      <w:r>
        <w:rPr>
          <w:rFonts w:hint="eastAsia"/>
        </w:rPr>
        <w:t>2024年初，秦皇岛海事局财政拨款收入总计</w:t>
      </w:r>
      <w:r>
        <w:rPr>
          <w:rFonts w:hint="eastAsia"/>
          <w:lang w:val="en-US" w:eastAsia="zh-CN"/>
        </w:rPr>
        <w:t>5762.38</w:t>
      </w:r>
      <w:r>
        <w:rPr>
          <w:rFonts w:hint="eastAsia"/>
        </w:rPr>
        <w:t>万元，</w:t>
      </w:r>
      <w:r>
        <w:rPr>
          <w:rFonts w:hint="eastAsia"/>
          <w:lang w:eastAsia="zh-CN"/>
        </w:rPr>
        <w:t>均</w:t>
      </w:r>
      <w:r>
        <w:rPr>
          <w:rFonts w:hint="eastAsia"/>
        </w:rPr>
        <w:t>为一般公共预算拨款。</w:t>
      </w:r>
    </w:p>
    <w:p>
      <w:pPr>
        <w:bidi w:val="0"/>
        <w:rPr>
          <w:rFonts w:hint="eastAsia"/>
        </w:rPr>
      </w:pPr>
      <w:r>
        <w:drawing>
          <wp:anchor distT="0" distB="0" distL="114300" distR="114300" simplePos="0" relativeHeight="251660288" behindDoc="0" locked="0" layoutInCell="1" allowOverlap="1">
            <wp:simplePos x="0" y="0"/>
            <wp:positionH relativeFrom="column">
              <wp:posOffset>400685</wp:posOffset>
            </wp:positionH>
            <wp:positionV relativeFrom="paragraph">
              <wp:posOffset>1294130</wp:posOffset>
            </wp:positionV>
            <wp:extent cx="4572000" cy="2743200"/>
            <wp:effectExtent l="4445" t="4445" r="14605" b="1460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rPr>
        <w:t>社会保障和就业支出</w:t>
      </w:r>
      <w:r>
        <w:rPr>
          <w:rFonts w:hint="eastAsia"/>
          <w:lang w:val="en-US" w:eastAsia="zh-CN"/>
        </w:rPr>
        <w:t>778.33</w:t>
      </w:r>
      <w:r>
        <w:rPr>
          <w:rFonts w:hint="eastAsia"/>
        </w:rPr>
        <w:t>万元，占</w:t>
      </w:r>
      <w:r>
        <w:rPr>
          <w:rFonts w:hint="eastAsia"/>
          <w:lang w:eastAsia="zh-CN"/>
        </w:rPr>
        <w:t>比</w:t>
      </w:r>
      <w:r>
        <w:rPr>
          <w:rFonts w:hint="eastAsia"/>
        </w:rPr>
        <w:t>13</w:t>
      </w:r>
      <w:r>
        <w:rPr>
          <w:rFonts w:hint="eastAsia"/>
          <w:lang w:val="en-US" w:eastAsia="zh-CN"/>
        </w:rPr>
        <w:t>.51</w:t>
      </w:r>
      <w:r>
        <w:rPr>
          <w:rFonts w:hint="eastAsia"/>
        </w:rPr>
        <w:t>%。卫生健康支出</w:t>
      </w:r>
      <w:r>
        <w:rPr>
          <w:rFonts w:hint="eastAsia"/>
          <w:lang w:val="en-US" w:eastAsia="zh-CN"/>
        </w:rPr>
        <w:t>407.74</w:t>
      </w:r>
      <w:r>
        <w:rPr>
          <w:rFonts w:hint="eastAsia"/>
        </w:rPr>
        <w:t>万元，占</w:t>
      </w:r>
      <w:r>
        <w:rPr>
          <w:rFonts w:hint="eastAsia"/>
          <w:lang w:eastAsia="zh-CN"/>
        </w:rPr>
        <w:t>比</w:t>
      </w:r>
      <w:r>
        <w:rPr>
          <w:rFonts w:hint="eastAsia"/>
          <w:lang w:val="en-US" w:eastAsia="zh-CN"/>
        </w:rPr>
        <w:t>7.08</w:t>
      </w:r>
      <w:r>
        <w:rPr>
          <w:rFonts w:hint="eastAsia"/>
        </w:rPr>
        <w:t>%。交通运输支出</w:t>
      </w:r>
      <w:r>
        <w:rPr>
          <w:rFonts w:hint="eastAsia"/>
          <w:lang w:val="en-US" w:eastAsia="zh-CN"/>
        </w:rPr>
        <w:t>4250.31</w:t>
      </w:r>
      <w:r>
        <w:rPr>
          <w:rFonts w:hint="eastAsia"/>
        </w:rPr>
        <w:t>万元，占</w:t>
      </w:r>
      <w:r>
        <w:rPr>
          <w:rFonts w:hint="eastAsia"/>
          <w:lang w:eastAsia="zh-CN"/>
        </w:rPr>
        <w:t>比</w:t>
      </w:r>
      <w:r>
        <w:rPr>
          <w:rFonts w:hint="eastAsia"/>
          <w:lang w:val="en-US" w:eastAsia="zh-CN"/>
        </w:rPr>
        <w:t>73.76</w:t>
      </w:r>
      <w:r>
        <w:rPr>
          <w:rFonts w:hint="eastAsia"/>
        </w:rPr>
        <w:t>%。住房保障支出326</w:t>
      </w:r>
      <w:r>
        <w:rPr>
          <w:rFonts w:hint="eastAsia"/>
          <w:lang w:val="en-US" w:eastAsia="zh-CN"/>
        </w:rPr>
        <w:t>.00</w:t>
      </w:r>
      <w:r>
        <w:rPr>
          <w:rFonts w:hint="eastAsia"/>
        </w:rPr>
        <w:t>万元，占</w:t>
      </w:r>
      <w:r>
        <w:rPr>
          <w:rFonts w:hint="eastAsia"/>
          <w:lang w:eastAsia="zh-CN"/>
        </w:rPr>
        <w:t>比</w:t>
      </w:r>
      <w:r>
        <w:rPr>
          <w:rFonts w:hint="eastAsia"/>
          <w:lang w:val="en-US" w:eastAsia="zh-CN"/>
        </w:rPr>
        <w:t>5.66</w:t>
      </w:r>
      <w:r>
        <w:rPr>
          <w:rFonts w:hint="eastAsia"/>
        </w:rPr>
        <w:t>%。</w:t>
      </w:r>
    </w:p>
    <w:p/>
    <w:p>
      <w:pPr>
        <w:pStyle w:val="4"/>
        <w:bidi w:val="0"/>
        <w:rPr>
          <w:rFonts w:hint="eastAsia"/>
        </w:rPr>
      </w:pPr>
      <w:bookmarkStart w:id="43" w:name="_Toc1269444457_WPSOffice_Level2"/>
      <w:bookmarkStart w:id="44" w:name="_Toc1666561540_WPSOffice_Level2"/>
      <w:bookmarkStart w:id="45" w:name="_Toc2093283821_WPSOffice_Level2"/>
      <w:r>
        <w:rPr>
          <w:rFonts w:hint="eastAsia"/>
        </w:rPr>
        <w:t>五、关于一般公共预算支出表的说明</w:t>
      </w:r>
      <w:bookmarkEnd w:id="43"/>
      <w:bookmarkEnd w:id="44"/>
      <w:bookmarkEnd w:id="45"/>
    </w:p>
    <w:p>
      <w:pPr>
        <w:bidi w:val="0"/>
        <w:rPr>
          <w:rFonts w:hint="eastAsia"/>
          <w:lang w:eastAsia="zh-CN"/>
        </w:rPr>
      </w:pPr>
      <w:r>
        <w:rPr>
          <w:rFonts w:hint="eastAsia"/>
          <w:lang w:val="en-US" w:eastAsia="zh-CN"/>
        </w:rPr>
        <w:t>2025</w:t>
      </w:r>
      <w:r>
        <w:rPr>
          <w:rFonts w:hint="eastAsia"/>
        </w:rPr>
        <w:t>年初，</w:t>
      </w:r>
      <w:r>
        <w:rPr>
          <w:rFonts w:hint="eastAsia"/>
          <w:lang w:eastAsia="zh-CN"/>
        </w:rPr>
        <w:t>秦皇岛</w:t>
      </w:r>
      <w:r>
        <w:rPr>
          <w:rFonts w:hint="eastAsia"/>
        </w:rPr>
        <w:t>海事局一般公共预算支出预算数为</w:t>
      </w:r>
      <w:r>
        <w:rPr>
          <w:rFonts w:hint="eastAsia"/>
          <w:lang w:val="en-US" w:eastAsia="zh-CN"/>
        </w:rPr>
        <w:t>5762.38</w:t>
      </w:r>
      <w:r>
        <w:rPr>
          <w:rFonts w:hint="eastAsia"/>
        </w:rPr>
        <w:t>万元，较</w:t>
      </w:r>
      <w:r>
        <w:rPr>
          <w:rFonts w:hint="eastAsia"/>
          <w:lang w:val="en-US" w:eastAsia="zh-CN"/>
        </w:rPr>
        <w:t>2024</w:t>
      </w:r>
      <w:r>
        <w:rPr>
          <w:rFonts w:hint="eastAsia"/>
        </w:rPr>
        <w:t>年执行数减少</w:t>
      </w:r>
      <w:r>
        <w:rPr>
          <w:rFonts w:hint="eastAsia"/>
          <w:lang w:val="en-US" w:eastAsia="zh-CN"/>
        </w:rPr>
        <w:t>4.74</w:t>
      </w:r>
      <w:r>
        <w:rPr>
          <w:rFonts w:hint="eastAsia"/>
        </w:rPr>
        <w:t>万元，下降</w:t>
      </w:r>
      <w:r>
        <w:rPr>
          <w:rFonts w:hint="eastAsia"/>
          <w:lang w:val="en-US" w:eastAsia="zh-CN"/>
        </w:rPr>
        <w:t>0.08</w:t>
      </w:r>
      <w:r>
        <w:rPr>
          <w:rFonts w:hint="eastAsia"/>
        </w:rPr>
        <w:t>%。</w:t>
      </w:r>
      <w:r>
        <w:rPr>
          <w:rFonts w:hint="eastAsia"/>
          <w:lang w:val="en-US" w:eastAsia="zh-CN"/>
        </w:rPr>
        <w:t>2024</w:t>
      </w:r>
      <w:r>
        <w:rPr>
          <w:rFonts w:hint="eastAsia"/>
        </w:rPr>
        <w:t>年</w:t>
      </w:r>
      <w:r>
        <w:rPr>
          <w:rFonts w:hint="eastAsia"/>
          <w:lang w:eastAsia="zh-CN"/>
        </w:rPr>
        <w:t>度</w:t>
      </w:r>
      <w:r>
        <w:rPr>
          <w:rFonts w:hint="eastAsia"/>
        </w:rPr>
        <w:t>，</w:t>
      </w:r>
      <w:r>
        <w:rPr>
          <w:rFonts w:hint="eastAsia"/>
          <w:lang w:eastAsia="zh-CN"/>
        </w:rPr>
        <w:t>秦皇岛</w:t>
      </w:r>
      <w:r>
        <w:rPr>
          <w:rFonts w:hint="eastAsia"/>
        </w:rPr>
        <w:t>海事局按照党中央、国务院过“紧日子”有关要求，厉行节约办一切事业，严控一般性支出。同时坚持有保有压，优化支出结构，合理保障了水上交通安全与运行维护等支出需求</w:t>
      </w:r>
      <w:r>
        <w:rPr>
          <w:rFonts w:hint="eastAsia"/>
          <w:lang w:eastAsia="zh-CN"/>
        </w:rPr>
        <w:t>。</w:t>
      </w:r>
    </w:p>
    <w:p>
      <w:pPr>
        <w:widowControl/>
        <w:shd w:val="clear" w:color="auto" w:fill="FFFFFF"/>
        <w:spacing w:after="0" w:line="585" w:lineRule="atLeast"/>
        <w:ind w:firstLine="645"/>
        <w:jc w:val="both"/>
        <w:rPr>
          <w:rFonts w:ascii="Calibri" w:hAnsi="Calibri" w:eastAsia="宋体" w:cs="Calibri"/>
          <w:color w:val="333333"/>
          <w:kern w:val="0"/>
          <w:sz w:val="21"/>
          <w:szCs w:val="21"/>
          <w14:ligatures w14:val="none"/>
        </w:rPr>
      </w:pPr>
      <w:r>
        <w:rPr>
          <w:rStyle w:val="13"/>
          <w:rFonts w:hint="eastAsia"/>
        </w:rPr>
        <w:t>（一）社会保障和就业支出（类）行政事业单位养老支出（款）</w:t>
      </w:r>
      <w:r>
        <w:rPr>
          <w:rFonts w:hint="eastAsia" w:hAnsi="Calibri" w:cs="Calibri"/>
          <w:color w:val="333333"/>
          <w:kern w:val="0"/>
          <w:sz w:val="32"/>
          <w:szCs w:val="32"/>
          <w:lang w:val="en-US" w:eastAsia="zh-CN"/>
          <w14:ligatures w14:val="none"/>
        </w:rPr>
        <w:t>2025</w:t>
      </w:r>
      <w:r>
        <w:rPr>
          <w:rFonts w:hint="eastAsia" w:ascii="仿宋_GB2312" w:hAnsi="Calibri" w:eastAsia="仿宋_GB2312" w:cs="Calibri"/>
          <w:color w:val="333333"/>
          <w:kern w:val="0"/>
          <w:sz w:val="32"/>
          <w:szCs w:val="32"/>
          <w14:ligatures w14:val="none"/>
        </w:rPr>
        <w:t>年初预算数为</w:t>
      </w:r>
      <w:r>
        <w:rPr>
          <w:rFonts w:hint="eastAsia" w:hAnsi="Calibri" w:cs="Calibri"/>
          <w:color w:val="333333"/>
          <w:kern w:val="0"/>
          <w:sz w:val="32"/>
          <w:szCs w:val="32"/>
          <w:lang w:val="en-US" w:eastAsia="zh-CN"/>
          <w14:ligatures w14:val="none"/>
        </w:rPr>
        <w:t>778.33</w:t>
      </w:r>
      <w:r>
        <w:rPr>
          <w:rFonts w:hint="eastAsia" w:ascii="仿宋_GB2312" w:hAnsi="Calibri" w:eastAsia="仿宋_GB2312" w:cs="Calibri"/>
          <w:color w:val="333333"/>
          <w:kern w:val="0"/>
          <w:sz w:val="32"/>
          <w:szCs w:val="32"/>
          <w14:ligatures w14:val="none"/>
        </w:rPr>
        <w:t>万元，较</w:t>
      </w:r>
      <w:r>
        <w:rPr>
          <w:rFonts w:hint="eastAsia" w:hAnsi="Calibri" w:cs="Calibri"/>
          <w:color w:val="333333"/>
          <w:kern w:val="0"/>
          <w:sz w:val="32"/>
          <w:szCs w:val="32"/>
          <w:lang w:val="en-US" w:eastAsia="zh-CN"/>
          <w14:ligatures w14:val="none"/>
        </w:rPr>
        <w:t>2024</w:t>
      </w:r>
      <w:r>
        <w:rPr>
          <w:rFonts w:hint="eastAsia" w:ascii="仿宋_GB2312" w:hAnsi="Calibri" w:eastAsia="仿宋_GB2312" w:cs="Calibri"/>
          <w:color w:val="333333"/>
          <w:kern w:val="0"/>
          <w:sz w:val="32"/>
          <w:szCs w:val="32"/>
          <w14:ligatures w14:val="none"/>
        </w:rPr>
        <w:t>年执行数</w:t>
      </w:r>
      <w:r>
        <w:rPr>
          <w:rFonts w:hint="eastAsia" w:hAnsi="Calibri" w:cs="Calibri"/>
          <w:color w:val="333333"/>
          <w:kern w:val="0"/>
          <w:sz w:val="32"/>
          <w:szCs w:val="32"/>
          <w:lang w:eastAsia="zh-CN"/>
          <w14:ligatures w14:val="none"/>
        </w:rPr>
        <w:t>增加</w:t>
      </w:r>
      <w:r>
        <w:rPr>
          <w:rFonts w:hint="eastAsia" w:hAnsi="Calibri" w:cs="Calibri"/>
          <w:color w:val="333333"/>
          <w:kern w:val="0"/>
          <w:sz w:val="32"/>
          <w:szCs w:val="32"/>
          <w:lang w:val="en-US" w:eastAsia="zh-CN"/>
          <w14:ligatures w14:val="none"/>
        </w:rPr>
        <w:t>35.21</w:t>
      </w:r>
      <w:r>
        <w:rPr>
          <w:rFonts w:hint="eastAsia" w:ascii="仿宋_GB2312" w:hAnsi="Calibri" w:eastAsia="仿宋_GB2312" w:cs="Calibri"/>
          <w:color w:val="333333"/>
          <w:kern w:val="0"/>
          <w:sz w:val="32"/>
          <w:szCs w:val="32"/>
          <w14:ligatures w14:val="none"/>
        </w:rPr>
        <w:t>万元，</w:t>
      </w:r>
      <w:r>
        <w:rPr>
          <w:rFonts w:hint="eastAsia" w:hAnsi="Calibri" w:cs="Calibri"/>
          <w:color w:val="333333"/>
          <w:kern w:val="0"/>
          <w:sz w:val="32"/>
          <w:szCs w:val="32"/>
          <w:lang w:eastAsia="zh-CN"/>
          <w14:ligatures w14:val="none"/>
        </w:rPr>
        <w:t>增加</w:t>
      </w:r>
      <w:r>
        <w:rPr>
          <w:rFonts w:hint="eastAsia" w:hAnsi="Calibri" w:cs="Calibri"/>
          <w:color w:val="333333"/>
          <w:kern w:val="0"/>
          <w:sz w:val="32"/>
          <w:szCs w:val="32"/>
          <w:lang w:val="en-US" w:eastAsia="zh-CN"/>
          <w14:ligatures w14:val="none"/>
        </w:rPr>
        <w:t>4.74</w:t>
      </w:r>
      <w:r>
        <w:rPr>
          <w:rFonts w:hint="eastAsia" w:ascii="仿宋_GB2312" w:hAnsi="Calibri" w:eastAsia="仿宋_GB2312" w:cs="Calibri"/>
          <w:color w:val="333333"/>
          <w:kern w:val="0"/>
          <w:sz w:val="32"/>
          <w:szCs w:val="32"/>
          <w14:ligatures w14:val="none"/>
        </w:rPr>
        <w:t>%。</w:t>
      </w:r>
    </w:p>
    <w:p>
      <w:pPr>
        <w:bidi w:val="0"/>
        <w:rPr>
          <w:rFonts w:hint="eastAsia"/>
          <w:lang w:eastAsia="zh-CN"/>
        </w:rPr>
      </w:pPr>
      <w:r>
        <w:rPr>
          <w:rFonts w:hint="eastAsia" w:ascii="仿宋_GB2312" w:hAnsi="Calibri" w:eastAsia="仿宋_GB2312" w:cs="Calibri"/>
          <w:color w:val="333333"/>
          <w:kern w:val="0"/>
          <w:szCs w:val="32"/>
          <w14:ligatures w14:val="none"/>
        </w:rPr>
        <w:t>1.行政事业单位养老支出（款）行政单位离退休（项）</w:t>
      </w:r>
      <w:r>
        <w:rPr>
          <w:rFonts w:hint="eastAsia" w:hAnsi="Calibri" w:cs="Calibri"/>
          <w:color w:val="333333"/>
          <w:kern w:val="0"/>
          <w:szCs w:val="32"/>
          <w:lang w:val="en-US" w:eastAsia="zh-CN"/>
          <w14:ligatures w14:val="none"/>
        </w:rPr>
        <w:t>2025</w:t>
      </w:r>
      <w:r>
        <w:rPr>
          <w:rFonts w:hint="eastAsia" w:ascii="仿宋_GB2312" w:hAnsi="Calibri" w:eastAsia="仿宋_GB2312" w:cs="Calibri"/>
          <w:color w:val="333333"/>
          <w:kern w:val="0"/>
          <w:szCs w:val="32"/>
          <w14:ligatures w14:val="none"/>
        </w:rPr>
        <w:t>年初预算数为</w:t>
      </w:r>
      <w:r>
        <w:rPr>
          <w:rFonts w:hint="eastAsia" w:hAnsi="Calibri" w:cs="Calibri"/>
          <w:color w:val="333333"/>
          <w:kern w:val="0"/>
          <w:szCs w:val="32"/>
          <w:lang w:val="en-US" w:eastAsia="zh-CN"/>
          <w14:ligatures w14:val="none"/>
        </w:rPr>
        <w:t>187.00</w:t>
      </w:r>
      <w:r>
        <w:rPr>
          <w:rFonts w:hint="eastAsia" w:ascii="仿宋_GB2312" w:hAnsi="Calibri" w:eastAsia="仿宋_GB2312" w:cs="Calibri"/>
          <w:color w:val="333333"/>
          <w:kern w:val="0"/>
          <w:szCs w:val="32"/>
          <w14:ligatures w14:val="none"/>
        </w:rPr>
        <w:t>万元，较</w:t>
      </w:r>
      <w:r>
        <w:rPr>
          <w:rFonts w:hint="eastAsia" w:hAnsi="Calibri" w:cs="Calibri"/>
          <w:color w:val="333333"/>
          <w:kern w:val="0"/>
          <w:szCs w:val="32"/>
          <w:lang w:val="en-US" w:eastAsia="zh-CN"/>
          <w14:ligatures w14:val="none"/>
        </w:rPr>
        <w:t>2024</w:t>
      </w:r>
      <w:r>
        <w:rPr>
          <w:rFonts w:hint="eastAsia" w:ascii="仿宋_GB2312" w:hAnsi="Calibri" w:eastAsia="仿宋_GB2312" w:cs="Calibri"/>
          <w:color w:val="333333"/>
          <w:kern w:val="0"/>
          <w:szCs w:val="32"/>
          <w14:ligatures w14:val="none"/>
        </w:rPr>
        <w:t>年执行数</w:t>
      </w:r>
      <w:r>
        <w:rPr>
          <w:rFonts w:hint="eastAsia" w:hAnsi="Calibri" w:cs="Calibri"/>
          <w:color w:val="333333"/>
          <w:kern w:val="0"/>
          <w:szCs w:val="32"/>
          <w:lang w:eastAsia="zh-CN"/>
          <w14:ligatures w14:val="none"/>
        </w:rPr>
        <w:t>增加</w:t>
      </w:r>
      <w:r>
        <w:rPr>
          <w:rFonts w:hint="eastAsia" w:hAnsi="Calibri" w:cs="Calibri"/>
          <w:color w:val="333333"/>
          <w:kern w:val="0"/>
          <w:szCs w:val="32"/>
          <w:lang w:val="en-US" w:eastAsia="zh-CN"/>
          <w14:ligatures w14:val="none"/>
        </w:rPr>
        <w:t>60.00</w:t>
      </w:r>
      <w:r>
        <w:rPr>
          <w:rFonts w:hint="eastAsia" w:ascii="仿宋_GB2312" w:hAnsi="Calibri" w:eastAsia="仿宋_GB2312" w:cs="Calibri"/>
          <w:color w:val="333333"/>
          <w:kern w:val="0"/>
          <w:szCs w:val="32"/>
          <w14:ligatures w14:val="none"/>
        </w:rPr>
        <w:t>万元，</w:t>
      </w:r>
      <w:r>
        <w:rPr>
          <w:rFonts w:hint="eastAsia" w:hAnsi="Calibri" w:cs="Calibri"/>
          <w:color w:val="333333"/>
          <w:kern w:val="0"/>
          <w:szCs w:val="32"/>
          <w:lang w:eastAsia="zh-CN"/>
          <w14:ligatures w14:val="none"/>
        </w:rPr>
        <w:t>增加</w:t>
      </w:r>
      <w:r>
        <w:rPr>
          <w:rFonts w:hint="eastAsia" w:hAnsi="Calibri" w:cs="Calibri"/>
          <w:color w:val="333333"/>
          <w:kern w:val="0"/>
          <w:szCs w:val="32"/>
          <w:lang w:val="en-US" w:eastAsia="zh-CN"/>
          <w14:ligatures w14:val="none"/>
        </w:rPr>
        <w:t>47.24</w:t>
      </w:r>
      <w:r>
        <w:rPr>
          <w:rFonts w:hint="eastAsia" w:ascii="仿宋_GB2312" w:hAnsi="Calibri" w:eastAsia="仿宋_GB2312" w:cs="Calibri"/>
          <w:color w:val="333333"/>
          <w:kern w:val="0"/>
          <w:szCs w:val="32"/>
          <w14:ligatures w14:val="none"/>
        </w:rPr>
        <w:t>%</w:t>
      </w:r>
      <w:r>
        <w:rPr>
          <w:rFonts w:hint="eastAsia" w:hAnsi="Calibri" w:cs="Calibri"/>
          <w:color w:val="333333"/>
          <w:kern w:val="0"/>
          <w:szCs w:val="32"/>
          <w:lang w:eastAsia="zh-CN"/>
          <w14:ligatures w14:val="none"/>
        </w:rPr>
        <w:t>。</w:t>
      </w:r>
      <w:r>
        <w:rPr>
          <w:rFonts w:hint="eastAsia"/>
          <w:lang w:eastAsia="zh-CN"/>
        </w:rPr>
        <w:t>主要原因为人员编制调整。</w:t>
      </w:r>
    </w:p>
    <w:p>
      <w:pPr>
        <w:widowControl/>
        <w:shd w:val="clear" w:color="auto" w:fill="FFFFFF"/>
        <w:spacing w:after="0" w:line="585" w:lineRule="atLeast"/>
        <w:ind w:firstLine="645"/>
        <w:jc w:val="both"/>
        <w:rPr>
          <w:rFonts w:ascii="Calibri" w:hAnsi="Calibri" w:eastAsia="宋体" w:cs="Calibri"/>
          <w:color w:val="333333"/>
          <w:kern w:val="0"/>
          <w:sz w:val="21"/>
          <w:szCs w:val="21"/>
          <w14:ligatures w14:val="none"/>
        </w:rPr>
      </w:pPr>
      <w:r>
        <w:rPr>
          <w:rFonts w:hint="eastAsia" w:ascii="仿宋_GB2312" w:hAnsi="Calibri" w:eastAsia="仿宋_GB2312" w:cs="Calibri"/>
          <w:color w:val="333333"/>
          <w:kern w:val="0"/>
          <w:sz w:val="32"/>
          <w:szCs w:val="32"/>
          <w14:ligatures w14:val="none"/>
        </w:rPr>
        <w:t>2.行政事业单位养老支出（款）机关事业单位基本养老保险缴费支出（项）</w:t>
      </w:r>
      <w:r>
        <w:rPr>
          <w:rFonts w:hint="eastAsia" w:hAnsi="Calibri" w:cs="Calibri"/>
          <w:color w:val="333333"/>
          <w:kern w:val="0"/>
          <w:sz w:val="32"/>
          <w:szCs w:val="32"/>
          <w:lang w:val="en-US" w:eastAsia="zh-CN"/>
          <w14:ligatures w14:val="none"/>
        </w:rPr>
        <w:t>2025</w:t>
      </w:r>
      <w:r>
        <w:rPr>
          <w:rFonts w:hint="eastAsia" w:ascii="仿宋_GB2312" w:hAnsi="Calibri" w:eastAsia="仿宋_GB2312" w:cs="Calibri"/>
          <w:color w:val="333333"/>
          <w:kern w:val="0"/>
          <w:sz w:val="32"/>
          <w:szCs w:val="32"/>
          <w14:ligatures w14:val="none"/>
        </w:rPr>
        <w:t>年初预算数为</w:t>
      </w:r>
      <w:r>
        <w:rPr>
          <w:rFonts w:hint="eastAsia" w:hAnsi="Calibri" w:cs="Calibri"/>
          <w:color w:val="333333"/>
          <w:kern w:val="0"/>
          <w:sz w:val="32"/>
          <w:szCs w:val="32"/>
          <w:lang w:val="en-US" w:eastAsia="zh-CN"/>
          <w14:ligatures w14:val="none"/>
        </w:rPr>
        <w:t>376.15</w:t>
      </w:r>
      <w:r>
        <w:rPr>
          <w:rFonts w:hint="eastAsia" w:ascii="仿宋_GB2312" w:hAnsi="Calibri" w:eastAsia="仿宋_GB2312" w:cs="Calibri"/>
          <w:color w:val="333333"/>
          <w:kern w:val="0"/>
          <w:sz w:val="32"/>
          <w:szCs w:val="32"/>
          <w14:ligatures w14:val="none"/>
        </w:rPr>
        <w:t>万元，较</w:t>
      </w:r>
      <w:r>
        <w:rPr>
          <w:rFonts w:hint="eastAsia" w:hAnsi="Calibri" w:cs="Calibri"/>
          <w:color w:val="333333"/>
          <w:kern w:val="0"/>
          <w:sz w:val="32"/>
          <w:szCs w:val="32"/>
          <w:lang w:val="en-US" w:eastAsia="zh-CN"/>
          <w14:ligatures w14:val="none"/>
        </w:rPr>
        <w:t>2024</w:t>
      </w:r>
      <w:r>
        <w:rPr>
          <w:rFonts w:hint="eastAsia" w:ascii="仿宋_GB2312" w:hAnsi="Calibri" w:eastAsia="仿宋_GB2312" w:cs="Calibri"/>
          <w:color w:val="333333"/>
          <w:kern w:val="0"/>
          <w:sz w:val="32"/>
          <w:szCs w:val="32"/>
          <w14:ligatures w14:val="none"/>
        </w:rPr>
        <w:t>年执行数减少</w:t>
      </w:r>
      <w:r>
        <w:rPr>
          <w:rFonts w:hint="eastAsia" w:hAnsi="Calibri" w:cs="Calibri"/>
          <w:color w:val="333333"/>
          <w:kern w:val="0"/>
          <w:sz w:val="32"/>
          <w:szCs w:val="32"/>
          <w:lang w:val="en-US" w:eastAsia="zh-CN"/>
          <w14:ligatures w14:val="none"/>
        </w:rPr>
        <w:t>15.13</w:t>
      </w:r>
      <w:r>
        <w:rPr>
          <w:rFonts w:hint="eastAsia" w:ascii="仿宋_GB2312" w:hAnsi="Calibri" w:eastAsia="仿宋_GB2312" w:cs="Calibri"/>
          <w:color w:val="333333"/>
          <w:kern w:val="0"/>
          <w:sz w:val="32"/>
          <w:szCs w:val="32"/>
          <w14:ligatures w14:val="none"/>
        </w:rPr>
        <w:t>万元，下降</w:t>
      </w:r>
      <w:r>
        <w:rPr>
          <w:rFonts w:hint="eastAsia" w:hAnsi="Calibri" w:cs="Calibri"/>
          <w:color w:val="333333"/>
          <w:kern w:val="0"/>
          <w:sz w:val="32"/>
          <w:szCs w:val="32"/>
          <w:lang w:val="en-US" w:eastAsia="zh-CN"/>
          <w14:ligatures w14:val="none"/>
        </w:rPr>
        <w:t>3.87</w:t>
      </w:r>
      <w:r>
        <w:rPr>
          <w:rFonts w:hint="eastAsia" w:ascii="仿宋_GB2312" w:hAnsi="Calibri" w:eastAsia="仿宋_GB2312" w:cs="Calibri"/>
          <w:color w:val="333333"/>
          <w:kern w:val="0"/>
          <w:sz w:val="32"/>
          <w:szCs w:val="32"/>
          <w14:ligatures w14:val="none"/>
        </w:rPr>
        <w:t>%。</w:t>
      </w:r>
    </w:p>
    <w:p>
      <w:pPr>
        <w:widowControl/>
        <w:shd w:val="clear" w:color="auto" w:fill="FFFFFF"/>
        <w:spacing w:after="0" w:line="585" w:lineRule="atLeast"/>
        <w:ind w:firstLine="645"/>
        <w:jc w:val="both"/>
        <w:rPr>
          <w:rFonts w:ascii="Calibri" w:hAnsi="Calibri" w:eastAsia="宋体" w:cs="Calibri"/>
          <w:color w:val="333333"/>
          <w:kern w:val="0"/>
          <w:sz w:val="21"/>
          <w:szCs w:val="21"/>
          <w14:ligatures w14:val="none"/>
        </w:rPr>
      </w:pPr>
      <w:r>
        <w:rPr>
          <w:rFonts w:hint="eastAsia" w:ascii="仿宋_GB2312" w:hAnsi="Calibri" w:eastAsia="仿宋_GB2312" w:cs="Calibri"/>
          <w:color w:val="333333"/>
          <w:kern w:val="0"/>
          <w:sz w:val="32"/>
          <w:szCs w:val="32"/>
          <w14:ligatures w14:val="none"/>
        </w:rPr>
        <w:t>3.行政事业单位养老支出（款）机关事业单位职业年金缴费支出（项）</w:t>
      </w:r>
      <w:r>
        <w:rPr>
          <w:rFonts w:hint="eastAsia" w:hAnsi="Calibri" w:cs="Calibri"/>
          <w:color w:val="333333"/>
          <w:kern w:val="0"/>
          <w:sz w:val="32"/>
          <w:szCs w:val="32"/>
          <w:lang w:val="en-US" w:eastAsia="zh-CN"/>
          <w14:ligatures w14:val="none"/>
        </w:rPr>
        <w:t>2025</w:t>
      </w:r>
      <w:r>
        <w:rPr>
          <w:rFonts w:hint="eastAsia" w:ascii="仿宋_GB2312" w:hAnsi="Calibri" w:eastAsia="仿宋_GB2312" w:cs="Calibri"/>
          <w:color w:val="333333"/>
          <w:kern w:val="0"/>
          <w:sz w:val="32"/>
          <w:szCs w:val="32"/>
          <w14:ligatures w14:val="none"/>
        </w:rPr>
        <w:t>年初预算数为</w:t>
      </w:r>
      <w:r>
        <w:rPr>
          <w:rFonts w:hint="eastAsia" w:hAnsi="Calibri" w:cs="Calibri"/>
          <w:color w:val="333333"/>
          <w:kern w:val="0"/>
          <w:sz w:val="32"/>
          <w:szCs w:val="32"/>
          <w:lang w:val="en-US" w:eastAsia="zh-CN"/>
          <w14:ligatures w14:val="none"/>
        </w:rPr>
        <w:t>215.18</w:t>
      </w:r>
      <w:r>
        <w:rPr>
          <w:rFonts w:hint="eastAsia" w:ascii="仿宋_GB2312" w:hAnsi="Calibri" w:eastAsia="仿宋_GB2312" w:cs="Calibri"/>
          <w:color w:val="333333"/>
          <w:kern w:val="0"/>
          <w:sz w:val="32"/>
          <w:szCs w:val="32"/>
          <w14:ligatures w14:val="none"/>
        </w:rPr>
        <w:t>万元，较</w:t>
      </w:r>
      <w:r>
        <w:rPr>
          <w:rFonts w:hint="eastAsia" w:hAnsi="Calibri" w:cs="Calibri"/>
          <w:color w:val="333333"/>
          <w:kern w:val="0"/>
          <w:sz w:val="32"/>
          <w:szCs w:val="32"/>
          <w:lang w:val="en-US" w:eastAsia="zh-CN"/>
          <w14:ligatures w14:val="none"/>
        </w:rPr>
        <w:t>2024</w:t>
      </w:r>
      <w:r>
        <w:rPr>
          <w:rFonts w:hint="eastAsia" w:ascii="仿宋_GB2312" w:hAnsi="Calibri" w:eastAsia="仿宋_GB2312" w:cs="Calibri"/>
          <w:color w:val="333333"/>
          <w:kern w:val="0"/>
          <w:sz w:val="32"/>
          <w:szCs w:val="32"/>
          <w14:ligatures w14:val="none"/>
        </w:rPr>
        <w:t>年执行数</w:t>
      </w:r>
      <w:r>
        <w:rPr>
          <w:rFonts w:hint="eastAsia" w:hAnsi="Calibri" w:cs="Calibri"/>
          <w:color w:val="333333"/>
          <w:kern w:val="0"/>
          <w:sz w:val="32"/>
          <w:szCs w:val="32"/>
          <w:lang w:eastAsia="zh-CN"/>
          <w14:ligatures w14:val="none"/>
        </w:rPr>
        <w:t>减少</w:t>
      </w:r>
      <w:r>
        <w:rPr>
          <w:rFonts w:hint="eastAsia" w:hAnsi="Calibri" w:cs="Calibri"/>
          <w:color w:val="333333"/>
          <w:kern w:val="0"/>
          <w:sz w:val="32"/>
          <w:szCs w:val="32"/>
          <w:lang w:val="en-US" w:eastAsia="zh-CN"/>
          <w14:ligatures w14:val="none"/>
        </w:rPr>
        <w:t>9.66</w:t>
      </w:r>
      <w:r>
        <w:rPr>
          <w:rFonts w:hint="eastAsia" w:ascii="仿宋_GB2312" w:hAnsi="Calibri" w:eastAsia="仿宋_GB2312" w:cs="Calibri"/>
          <w:color w:val="333333"/>
          <w:kern w:val="0"/>
          <w:sz w:val="32"/>
          <w:szCs w:val="32"/>
          <w14:ligatures w14:val="none"/>
        </w:rPr>
        <w:t>万元，</w:t>
      </w:r>
      <w:r>
        <w:rPr>
          <w:rFonts w:hint="eastAsia" w:hAnsi="Calibri" w:cs="Calibri"/>
          <w:color w:val="333333"/>
          <w:kern w:val="0"/>
          <w:sz w:val="32"/>
          <w:szCs w:val="32"/>
          <w:lang w:eastAsia="zh-CN"/>
          <w14:ligatures w14:val="none"/>
        </w:rPr>
        <w:t>减少</w:t>
      </w:r>
      <w:r>
        <w:rPr>
          <w:rFonts w:hint="eastAsia" w:hAnsi="Calibri" w:cs="Calibri"/>
          <w:color w:val="333333"/>
          <w:kern w:val="0"/>
          <w:sz w:val="32"/>
          <w:szCs w:val="32"/>
          <w:lang w:val="en-US" w:eastAsia="zh-CN"/>
          <w14:ligatures w14:val="none"/>
        </w:rPr>
        <w:t>4.30%</w:t>
      </w:r>
      <w:r>
        <w:rPr>
          <w:rFonts w:hint="eastAsia" w:hAnsi="Calibri" w:cs="Calibri"/>
          <w:color w:val="333333"/>
          <w:kern w:val="0"/>
          <w:sz w:val="32"/>
          <w:szCs w:val="32"/>
          <w:lang w:eastAsia="zh-CN"/>
          <w14:ligatures w14:val="none"/>
        </w:rPr>
        <w:t>。</w:t>
      </w:r>
    </w:p>
    <w:p>
      <w:pPr>
        <w:widowControl/>
        <w:shd w:val="clear" w:color="auto" w:fill="FFFFFF"/>
        <w:spacing w:after="0" w:line="585" w:lineRule="atLeast"/>
        <w:ind w:firstLine="645"/>
        <w:jc w:val="both"/>
        <w:rPr>
          <w:rFonts w:ascii="Calibri" w:hAnsi="Calibri" w:eastAsia="宋体" w:cs="Calibri"/>
          <w:color w:val="333333"/>
          <w:kern w:val="0"/>
          <w:sz w:val="21"/>
          <w:szCs w:val="21"/>
          <w:highlight w:val="none"/>
          <w14:ligatures w14:val="none"/>
        </w:rPr>
      </w:pPr>
      <w:r>
        <w:rPr>
          <w:rStyle w:val="13"/>
          <w:rFonts w:hint="eastAsia"/>
        </w:rPr>
        <w:t>（二）卫生健康支出（类） 行政事业单位医疗（款）行政单位医疗（项）</w:t>
      </w:r>
      <w:r>
        <w:rPr>
          <w:rFonts w:hint="eastAsia" w:ascii="仿宋_GB2312" w:hAnsi="Calibri" w:eastAsia="仿宋_GB2312" w:cs="Calibri"/>
          <w:color w:val="333333"/>
          <w:kern w:val="0"/>
          <w:sz w:val="32"/>
          <w:szCs w:val="32"/>
          <w:highlight w:val="none"/>
          <w14:ligatures w14:val="none"/>
        </w:rPr>
        <w:t>主要用于行政事业单位医疗方面的支出。</w:t>
      </w:r>
      <w:r>
        <w:rPr>
          <w:rFonts w:hint="eastAsia" w:hAnsi="Calibri" w:cs="Calibri"/>
          <w:color w:val="333333"/>
          <w:kern w:val="0"/>
          <w:sz w:val="32"/>
          <w:szCs w:val="32"/>
          <w:highlight w:val="none"/>
          <w:lang w:val="en-US" w:eastAsia="zh-CN"/>
          <w14:ligatures w14:val="none"/>
        </w:rPr>
        <w:t>2025</w:t>
      </w:r>
      <w:r>
        <w:rPr>
          <w:rFonts w:hint="eastAsia" w:ascii="仿宋_GB2312" w:hAnsi="Calibri" w:eastAsia="仿宋_GB2312" w:cs="Calibri"/>
          <w:color w:val="333333"/>
          <w:kern w:val="0"/>
          <w:sz w:val="32"/>
          <w:szCs w:val="32"/>
          <w:highlight w:val="none"/>
          <w14:ligatures w14:val="none"/>
        </w:rPr>
        <w:t>年初预算数为</w:t>
      </w:r>
      <w:r>
        <w:rPr>
          <w:rFonts w:hint="eastAsia" w:hAnsi="Calibri" w:cs="Calibri"/>
          <w:color w:val="333333"/>
          <w:kern w:val="0"/>
          <w:sz w:val="32"/>
          <w:szCs w:val="32"/>
          <w:highlight w:val="none"/>
          <w:lang w:val="en-US" w:eastAsia="zh-CN"/>
          <w14:ligatures w14:val="none"/>
        </w:rPr>
        <w:t>407.74</w:t>
      </w:r>
      <w:r>
        <w:rPr>
          <w:rFonts w:hint="eastAsia" w:ascii="仿宋_GB2312" w:hAnsi="Calibri" w:eastAsia="仿宋_GB2312" w:cs="Calibri"/>
          <w:color w:val="333333"/>
          <w:kern w:val="0"/>
          <w:sz w:val="32"/>
          <w:szCs w:val="32"/>
          <w:highlight w:val="none"/>
          <w14:ligatures w14:val="none"/>
        </w:rPr>
        <w:t>万元，较</w:t>
      </w:r>
      <w:r>
        <w:rPr>
          <w:rFonts w:hint="eastAsia" w:hAnsi="Calibri" w:cs="Calibri"/>
          <w:color w:val="333333"/>
          <w:kern w:val="0"/>
          <w:sz w:val="32"/>
          <w:szCs w:val="32"/>
          <w:highlight w:val="none"/>
          <w:lang w:val="en-US" w:eastAsia="zh-CN"/>
          <w14:ligatures w14:val="none"/>
        </w:rPr>
        <w:t>2024</w:t>
      </w:r>
      <w:r>
        <w:rPr>
          <w:rFonts w:hint="eastAsia" w:ascii="仿宋_GB2312" w:hAnsi="Calibri" w:eastAsia="仿宋_GB2312" w:cs="Calibri"/>
          <w:color w:val="333333"/>
          <w:kern w:val="0"/>
          <w:sz w:val="32"/>
          <w:szCs w:val="32"/>
          <w:highlight w:val="none"/>
          <w14:ligatures w14:val="none"/>
        </w:rPr>
        <w:t>年执行数</w:t>
      </w:r>
      <w:r>
        <w:rPr>
          <w:rFonts w:hint="eastAsia" w:hAnsi="Calibri" w:cs="Calibri"/>
          <w:color w:val="333333"/>
          <w:kern w:val="0"/>
          <w:sz w:val="32"/>
          <w:szCs w:val="32"/>
          <w:highlight w:val="none"/>
          <w:lang w:eastAsia="zh-CN"/>
          <w14:ligatures w14:val="none"/>
        </w:rPr>
        <w:t>增加</w:t>
      </w:r>
      <w:r>
        <w:rPr>
          <w:rFonts w:hint="eastAsia" w:hAnsi="Calibri" w:cs="Calibri"/>
          <w:color w:val="333333"/>
          <w:kern w:val="0"/>
          <w:sz w:val="32"/>
          <w:szCs w:val="32"/>
          <w:highlight w:val="none"/>
          <w:lang w:val="en-US" w:eastAsia="zh-CN"/>
          <w14:ligatures w14:val="none"/>
        </w:rPr>
        <w:t>17.54</w:t>
      </w:r>
      <w:r>
        <w:rPr>
          <w:rFonts w:hint="eastAsia" w:ascii="仿宋_GB2312" w:hAnsi="Calibri" w:eastAsia="仿宋_GB2312" w:cs="Calibri"/>
          <w:color w:val="333333"/>
          <w:kern w:val="0"/>
          <w:sz w:val="32"/>
          <w:szCs w:val="32"/>
          <w:highlight w:val="none"/>
          <w14:ligatures w14:val="none"/>
        </w:rPr>
        <w:t>万元，</w:t>
      </w:r>
      <w:r>
        <w:rPr>
          <w:rFonts w:hint="eastAsia" w:hAnsi="Calibri" w:cs="Calibri"/>
          <w:color w:val="333333"/>
          <w:kern w:val="0"/>
          <w:sz w:val="32"/>
          <w:szCs w:val="32"/>
          <w:highlight w:val="none"/>
          <w:lang w:eastAsia="zh-CN"/>
          <w14:ligatures w14:val="none"/>
        </w:rPr>
        <w:t>增加</w:t>
      </w:r>
      <w:r>
        <w:rPr>
          <w:rFonts w:hint="eastAsia" w:hAnsi="Calibri" w:cs="Calibri"/>
          <w:color w:val="333333"/>
          <w:kern w:val="0"/>
          <w:sz w:val="32"/>
          <w:szCs w:val="32"/>
          <w:highlight w:val="none"/>
          <w:lang w:val="en-US" w:eastAsia="zh-CN"/>
          <w14:ligatures w14:val="none"/>
        </w:rPr>
        <w:t>4.50</w:t>
      </w:r>
      <w:r>
        <w:rPr>
          <w:rFonts w:hint="eastAsia" w:ascii="仿宋_GB2312" w:hAnsi="Calibri" w:eastAsia="仿宋_GB2312" w:cs="Calibri"/>
          <w:color w:val="333333"/>
          <w:kern w:val="0"/>
          <w:sz w:val="32"/>
          <w:szCs w:val="32"/>
          <w:highlight w:val="none"/>
          <w14:ligatures w14:val="none"/>
        </w:rPr>
        <w:t>%。</w:t>
      </w:r>
    </w:p>
    <w:p>
      <w:pPr>
        <w:widowControl/>
        <w:shd w:val="clear" w:color="auto" w:fill="FFFFFF"/>
        <w:spacing w:after="0" w:line="585" w:lineRule="atLeast"/>
        <w:ind w:firstLine="645"/>
        <w:jc w:val="both"/>
        <w:rPr>
          <w:rFonts w:ascii="Calibri" w:hAnsi="Calibri" w:eastAsia="宋体" w:cs="Calibri"/>
          <w:color w:val="333333"/>
          <w:kern w:val="0"/>
          <w:sz w:val="21"/>
          <w:szCs w:val="21"/>
          <w:highlight w:val="none"/>
          <w14:ligatures w14:val="none"/>
        </w:rPr>
      </w:pPr>
      <w:r>
        <w:rPr>
          <w:rStyle w:val="13"/>
          <w:rFonts w:hint="eastAsia"/>
        </w:rPr>
        <w:t>（三）交通运输支出（类）公路水路运输（款）</w:t>
      </w:r>
      <w:r>
        <w:rPr>
          <w:rStyle w:val="13"/>
          <w:rFonts w:hint="eastAsia"/>
          <w:lang w:eastAsia="zh-CN"/>
        </w:rPr>
        <w:t>海事管理（项）</w:t>
      </w:r>
      <w:r>
        <w:rPr>
          <w:rFonts w:hint="eastAsia" w:hAnsi="Calibri" w:cs="Calibri"/>
          <w:color w:val="333333"/>
          <w:kern w:val="0"/>
          <w:sz w:val="32"/>
          <w:szCs w:val="32"/>
          <w:highlight w:val="none"/>
          <w:lang w:val="en-US" w:eastAsia="zh-CN"/>
          <w14:ligatures w14:val="none"/>
        </w:rPr>
        <w:t>2025</w:t>
      </w:r>
      <w:r>
        <w:rPr>
          <w:rFonts w:hint="eastAsia" w:ascii="仿宋_GB2312" w:hAnsi="Calibri" w:eastAsia="仿宋_GB2312" w:cs="Calibri"/>
          <w:color w:val="333333"/>
          <w:kern w:val="0"/>
          <w:sz w:val="32"/>
          <w:szCs w:val="32"/>
          <w:highlight w:val="none"/>
          <w14:ligatures w14:val="none"/>
        </w:rPr>
        <w:t>年初预算数为</w:t>
      </w:r>
      <w:r>
        <w:rPr>
          <w:rFonts w:hint="eastAsia" w:hAnsi="Calibri" w:cs="Calibri"/>
          <w:color w:val="333333"/>
          <w:kern w:val="0"/>
          <w:sz w:val="32"/>
          <w:szCs w:val="32"/>
          <w:highlight w:val="none"/>
          <w:lang w:val="en-US" w:eastAsia="zh-CN"/>
          <w14:ligatures w14:val="none"/>
        </w:rPr>
        <w:t>3523.00</w:t>
      </w:r>
      <w:r>
        <w:rPr>
          <w:rFonts w:hint="eastAsia" w:ascii="仿宋_GB2312" w:hAnsi="Calibri" w:eastAsia="仿宋_GB2312" w:cs="Calibri"/>
          <w:color w:val="333333"/>
          <w:kern w:val="0"/>
          <w:sz w:val="32"/>
          <w:szCs w:val="32"/>
          <w:highlight w:val="none"/>
          <w14:ligatures w14:val="none"/>
        </w:rPr>
        <w:t>万元，较</w:t>
      </w:r>
      <w:r>
        <w:rPr>
          <w:rFonts w:hint="eastAsia" w:hAnsi="Calibri" w:cs="Calibri"/>
          <w:color w:val="333333"/>
          <w:kern w:val="0"/>
          <w:sz w:val="32"/>
          <w:szCs w:val="32"/>
          <w:highlight w:val="none"/>
          <w:lang w:val="en-US" w:eastAsia="zh-CN"/>
          <w14:ligatures w14:val="none"/>
        </w:rPr>
        <w:t>2024</w:t>
      </w:r>
      <w:r>
        <w:rPr>
          <w:rFonts w:hint="eastAsia" w:ascii="仿宋_GB2312" w:hAnsi="Calibri" w:eastAsia="仿宋_GB2312" w:cs="Calibri"/>
          <w:color w:val="333333"/>
          <w:kern w:val="0"/>
          <w:sz w:val="32"/>
          <w:szCs w:val="32"/>
          <w:highlight w:val="none"/>
          <w14:ligatures w14:val="none"/>
        </w:rPr>
        <w:t>年执行数减少</w:t>
      </w:r>
      <w:r>
        <w:rPr>
          <w:rFonts w:hint="eastAsia" w:hAnsi="Calibri" w:cs="Calibri"/>
          <w:color w:val="333333"/>
          <w:kern w:val="0"/>
          <w:sz w:val="32"/>
          <w:szCs w:val="32"/>
          <w:highlight w:val="none"/>
          <w:lang w:val="en-US" w:eastAsia="zh-CN"/>
          <w14:ligatures w14:val="none"/>
        </w:rPr>
        <w:t>77.80</w:t>
      </w:r>
      <w:r>
        <w:rPr>
          <w:rFonts w:hint="eastAsia" w:ascii="仿宋_GB2312" w:hAnsi="Calibri" w:eastAsia="仿宋_GB2312" w:cs="Calibri"/>
          <w:color w:val="333333"/>
          <w:kern w:val="0"/>
          <w:sz w:val="32"/>
          <w:szCs w:val="32"/>
          <w:highlight w:val="none"/>
          <w14:ligatures w14:val="none"/>
        </w:rPr>
        <w:t>万元，下降</w:t>
      </w:r>
      <w:r>
        <w:rPr>
          <w:rFonts w:hint="eastAsia" w:hAnsi="Calibri" w:cs="Calibri"/>
          <w:color w:val="333333"/>
          <w:kern w:val="0"/>
          <w:sz w:val="32"/>
          <w:szCs w:val="32"/>
          <w:highlight w:val="none"/>
          <w:lang w:val="en-US" w:eastAsia="zh-CN"/>
          <w14:ligatures w14:val="none"/>
        </w:rPr>
        <w:t>2.21</w:t>
      </w:r>
      <w:r>
        <w:rPr>
          <w:rFonts w:hint="eastAsia" w:ascii="仿宋_GB2312" w:hAnsi="Calibri" w:eastAsia="仿宋_GB2312" w:cs="Calibri"/>
          <w:color w:val="333333"/>
          <w:kern w:val="0"/>
          <w:sz w:val="32"/>
          <w:szCs w:val="32"/>
          <w:highlight w:val="none"/>
          <w14:ligatures w14:val="none"/>
        </w:rPr>
        <w:t>%。</w:t>
      </w:r>
    </w:p>
    <w:p>
      <w:pPr>
        <w:widowControl/>
        <w:shd w:val="clear" w:color="auto" w:fill="FFFFFF"/>
        <w:spacing w:after="0" w:line="585" w:lineRule="atLeast"/>
        <w:ind w:firstLine="645"/>
        <w:jc w:val="both"/>
        <w:rPr>
          <w:rFonts w:hint="eastAsia" w:hAnsi="Calibri" w:cs="Calibri"/>
          <w:color w:val="333333"/>
          <w:kern w:val="0"/>
          <w:sz w:val="32"/>
          <w:szCs w:val="32"/>
          <w:lang w:eastAsia="zh-CN"/>
          <w14:ligatures w14:val="none"/>
        </w:rPr>
      </w:pPr>
      <w:r>
        <w:rPr>
          <w:rStyle w:val="13"/>
          <w:rFonts w:hint="eastAsia"/>
        </w:rPr>
        <w:t>（四）住房保障支出（类）住房改革支出（款）住房公积金（项）</w:t>
      </w:r>
      <w:r>
        <w:rPr>
          <w:rFonts w:hint="eastAsia" w:hAnsi="Calibri" w:cs="Calibri"/>
          <w:color w:val="333333"/>
          <w:kern w:val="0"/>
          <w:sz w:val="32"/>
          <w:szCs w:val="32"/>
          <w:lang w:val="en-US" w:eastAsia="zh-CN"/>
          <w14:ligatures w14:val="none"/>
        </w:rPr>
        <w:t>2025</w:t>
      </w:r>
      <w:r>
        <w:rPr>
          <w:rFonts w:hint="eastAsia" w:ascii="仿宋_GB2312" w:hAnsi="Calibri" w:eastAsia="仿宋_GB2312" w:cs="Calibri"/>
          <w:color w:val="333333"/>
          <w:kern w:val="0"/>
          <w:sz w:val="32"/>
          <w:szCs w:val="32"/>
          <w14:ligatures w14:val="none"/>
        </w:rPr>
        <w:t>年初预算数为</w:t>
      </w:r>
      <w:r>
        <w:rPr>
          <w:rFonts w:hint="eastAsia" w:hAnsi="Calibri" w:cs="Calibri"/>
          <w:color w:val="333333"/>
          <w:kern w:val="0"/>
          <w:sz w:val="32"/>
          <w:szCs w:val="32"/>
          <w:lang w:val="en-US" w:eastAsia="zh-CN"/>
          <w14:ligatures w14:val="none"/>
        </w:rPr>
        <w:t>326.00</w:t>
      </w:r>
      <w:r>
        <w:rPr>
          <w:rFonts w:hint="eastAsia" w:ascii="仿宋_GB2312" w:hAnsi="Calibri" w:eastAsia="仿宋_GB2312" w:cs="Calibri"/>
          <w:color w:val="333333"/>
          <w:kern w:val="0"/>
          <w:sz w:val="32"/>
          <w:szCs w:val="32"/>
          <w14:ligatures w14:val="none"/>
        </w:rPr>
        <w:t>万元，较</w:t>
      </w:r>
      <w:r>
        <w:rPr>
          <w:rFonts w:hint="eastAsia" w:hAnsi="Calibri" w:cs="Calibri"/>
          <w:color w:val="333333"/>
          <w:kern w:val="0"/>
          <w:sz w:val="32"/>
          <w:szCs w:val="32"/>
          <w:lang w:val="en-US" w:eastAsia="zh-CN"/>
          <w14:ligatures w14:val="none"/>
        </w:rPr>
        <w:t>2024</w:t>
      </w:r>
      <w:r>
        <w:rPr>
          <w:rFonts w:hint="eastAsia" w:ascii="仿宋_GB2312" w:hAnsi="Calibri" w:eastAsia="仿宋_GB2312" w:cs="Calibri"/>
          <w:color w:val="333333"/>
          <w:kern w:val="0"/>
          <w:sz w:val="32"/>
          <w:szCs w:val="32"/>
          <w14:ligatures w14:val="none"/>
        </w:rPr>
        <w:t>年执行数</w:t>
      </w:r>
      <w:r>
        <w:rPr>
          <w:rFonts w:hint="eastAsia" w:hAnsi="Calibri" w:cs="Calibri"/>
          <w:color w:val="333333"/>
          <w:kern w:val="0"/>
          <w:sz w:val="32"/>
          <w:szCs w:val="32"/>
          <w:lang w:eastAsia="zh-CN"/>
          <w14:ligatures w14:val="none"/>
        </w:rPr>
        <w:t>无变化。</w:t>
      </w:r>
    </w:p>
    <w:p>
      <w:pPr>
        <w:pStyle w:val="4"/>
        <w:bidi w:val="0"/>
      </w:pPr>
      <w:bookmarkStart w:id="46" w:name="_Toc507485486_WPSOffice_Level2"/>
      <w:bookmarkStart w:id="47" w:name="_Toc1967280289_WPSOffice_Level2"/>
      <w:bookmarkStart w:id="48" w:name="_Toc1863422252_WPSOffice_Level2"/>
      <w:r>
        <w:rPr>
          <w:rFonts w:hint="eastAsia"/>
        </w:rPr>
        <w:t>六、关于</w:t>
      </w:r>
      <w:r>
        <w:rPr>
          <w:rFonts w:hint="eastAsia"/>
          <w:lang w:val="en-US" w:eastAsia="zh-CN"/>
        </w:rPr>
        <w:t>2025</w:t>
      </w:r>
      <w:r>
        <w:rPr>
          <w:rFonts w:hint="eastAsia"/>
        </w:rPr>
        <w:t>年一般公共预算基本支出表的说明</w:t>
      </w:r>
      <w:bookmarkEnd w:id="46"/>
      <w:bookmarkEnd w:id="47"/>
      <w:bookmarkEnd w:id="48"/>
    </w:p>
    <w:p>
      <w:pPr>
        <w:bidi w:val="0"/>
      </w:pPr>
      <w:r>
        <w:rPr>
          <w:rFonts w:hint="eastAsia"/>
          <w:lang w:eastAsia="zh-CN"/>
        </w:rPr>
        <w:t>秦皇岛</w:t>
      </w:r>
      <w:r>
        <w:rPr>
          <w:rFonts w:hint="eastAsia"/>
        </w:rPr>
        <w:t>海事局</w:t>
      </w:r>
      <w:r>
        <w:rPr>
          <w:rFonts w:hint="eastAsia"/>
          <w:lang w:val="en-US" w:eastAsia="zh-CN"/>
        </w:rPr>
        <w:t>2025</w:t>
      </w:r>
      <w:r>
        <w:rPr>
          <w:rFonts w:hint="eastAsia"/>
        </w:rPr>
        <w:t>年一般公共预算基本支出</w:t>
      </w:r>
      <w:r>
        <w:rPr>
          <w:rFonts w:hint="eastAsia"/>
          <w:lang w:val="en-US" w:eastAsia="zh-CN"/>
        </w:rPr>
        <w:t>5035.07</w:t>
      </w:r>
      <w:r>
        <w:rPr>
          <w:rFonts w:hint="eastAsia"/>
        </w:rPr>
        <w:t>万元，其中：</w:t>
      </w:r>
    </w:p>
    <w:p>
      <w:pPr>
        <w:bidi w:val="0"/>
      </w:pPr>
      <w:r>
        <w:rPr>
          <w:rFonts w:hint="eastAsia"/>
        </w:rPr>
        <w:t>人员经费</w:t>
      </w:r>
      <w:r>
        <w:rPr>
          <w:rFonts w:hint="eastAsia"/>
          <w:lang w:val="en-US" w:eastAsia="zh-CN"/>
        </w:rPr>
        <w:t>4160.07</w:t>
      </w:r>
      <w:r>
        <w:rPr>
          <w:rFonts w:hint="eastAsia"/>
        </w:rPr>
        <w:t>万元，主要包括：基本工资、津贴补贴、奖金、机关事业单位基本养老保险缴费、职业年金缴费、职工基本医疗保险缴费、其他社会保障缴费、住房公积金、退休费、其他对个人和家庭的补助支出等。</w:t>
      </w:r>
    </w:p>
    <w:p>
      <w:pPr>
        <w:bidi w:val="0"/>
        <w:rPr>
          <w:rStyle w:val="15"/>
          <w:rFonts w:hint="eastAsia"/>
        </w:rPr>
      </w:pPr>
      <w:r>
        <w:rPr>
          <w:rFonts w:hint="eastAsia"/>
        </w:rPr>
        <w:t>公用经费</w:t>
      </w:r>
      <w:r>
        <w:rPr>
          <w:rFonts w:hint="eastAsia"/>
          <w:lang w:val="en-US" w:eastAsia="zh-CN"/>
        </w:rPr>
        <w:t>875.00</w:t>
      </w:r>
      <w:r>
        <w:rPr>
          <w:rFonts w:hint="eastAsia"/>
        </w:rPr>
        <w:t>万元，主要包括：办公费、印刷费、咨询费、手续费、水费、电费、邮电费、取暖费、物业管理费、差旅费、维修（护）费、会议费、培训费、公务接待费、专用材料费、劳务费、委托业务费、工会经费、福利费、公务用车运行维护费、其他交通费用、其他商品和服务支出、办公设备购置、信息网络及软件购置更新、公务用车购置、其他资本性支出等。</w:t>
      </w:r>
      <w:r>
        <w:rPr>
          <w:rFonts w:hint="eastAsia"/>
        </w:rPr>
        <w:br w:type="textWrapping"/>
      </w:r>
      <w:r>
        <w:rPr>
          <w:rStyle w:val="15"/>
          <w:rFonts w:hint="eastAsia"/>
        </w:rPr>
        <w:t>七、关于一般公共预算“三公”经费支出表的说明</w:t>
      </w:r>
    </w:p>
    <w:p>
      <w:pPr>
        <w:pStyle w:val="5"/>
        <w:bidi w:val="0"/>
        <w:rPr>
          <w:rFonts w:hint="eastAsia"/>
        </w:rPr>
      </w:pPr>
      <w:r>
        <w:rPr>
          <w:rFonts w:hint="eastAsia"/>
        </w:rPr>
        <w:t>（一） 因公出国（境）经费</w:t>
      </w:r>
    </w:p>
    <w:p>
      <w:pPr>
        <w:widowControl/>
        <w:shd w:val="clear" w:color="auto" w:fill="FFFFFF"/>
        <w:spacing w:after="0" w:line="315" w:lineRule="atLeast"/>
        <w:ind w:firstLine="720"/>
        <w:jc w:val="both"/>
        <w:rPr>
          <w:rFonts w:hint="eastAsia" w:ascii="仿宋_GB2312" w:hAnsi="Calibri" w:eastAsia="仿宋_GB2312" w:cs="Calibri"/>
          <w:color w:val="333333"/>
          <w:kern w:val="0"/>
          <w:sz w:val="32"/>
          <w:szCs w:val="32"/>
          <w14:ligatures w14:val="none"/>
        </w:rPr>
      </w:pPr>
      <w:r>
        <w:rPr>
          <w:rFonts w:hint="eastAsia" w:ascii="仿宋_GB2312" w:hAnsi="Calibri" w:eastAsia="仿宋_GB2312" w:cs="Calibri"/>
          <w:color w:val="333333"/>
          <w:kern w:val="0"/>
          <w:sz w:val="32"/>
          <w:szCs w:val="32"/>
          <w14:ligatures w14:val="none"/>
        </w:rPr>
        <w:t>本单位</w:t>
      </w:r>
      <w:r>
        <w:rPr>
          <w:rFonts w:hint="eastAsia" w:hAnsi="Calibri" w:cs="Calibri"/>
          <w:color w:val="333333"/>
          <w:kern w:val="0"/>
          <w:sz w:val="32"/>
          <w:szCs w:val="32"/>
          <w:lang w:val="en-US" w:eastAsia="zh-CN"/>
          <w14:ligatures w14:val="none"/>
        </w:rPr>
        <w:t>2025</w:t>
      </w:r>
      <w:r>
        <w:rPr>
          <w:rFonts w:hint="eastAsia" w:ascii="仿宋_GB2312" w:hAnsi="Calibri" w:eastAsia="仿宋_GB2312" w:cs="Calibri"/>
          <w:color w:val="333333"/>
          <w:kern w:val="0"/>
          <w:sz w:val="32"/>
          <w:szCs w:val="32"/>
          <w14:ligatures w14:val="none"/>
        </w:rPr>
        <w:t>年预算未安排因公出国（境） 经费支出。</w:t>
      </w:r>
    </w:p>
    <w:p>
      <w:pPr>
        <w:pStyle w:val="5"/>
        <w:bidi w:val="0"/>
        <w:rPr>
          <w:rFonts w:hint="eastAsia"/>
        </w:rPr>
      </w:pPr>
      <w:r>
        <w:rPr>
          <w:rFonts w:hint="eastAsia"/>
        </w:rPr>
        <w:t>（二） 公务接待费</w:t>
      </w:r>
    </w:p>
    <w:p>
      <w:pPr>
        <w:widowControl/>
        <w:shd w:val="clear" w:color="auto" w:fill="FFFFFF"/>
        <w:spacing w:after="0" w:line="315" w:lineRule="atLeast"/>
        <w:ind w:firstLine="720"/>
        <w:jc w:val="both"/>
        <w:rPr>
          <w:rFonts w:hint="eastAsia" w:ascii="仿宋_GB2312" w:hAnsi="Calibri" w:eastAsia="仿宋_GB2312" w:cs="Calibri"/>
          <w:color w:val="333333"/>
          <w:kern w:val="0"/>
          <w:sz w:val="32"/>
          <w:szCs w:val="32"/>
          <w14:ligatures w14:val="none"/>
        </w:rPr>
      </w:pPr>
      <w:r>
        <w:rPr>
          <w:rFonts w:hint="eastAsia" w:ascii="仿宋_GB2312" w:hAnsi="Calibri" w:eastAsia="仿宋_GB2312" w:cs="Calibri"/>
          <w:color w:val="333333"/>
          <w:kern w:val="0"/>
          <w:sz w:val="32"/>
          <w:szCs w:val="32"/>
          <w14:ligatures w14:val="none"/>
        </w:rPr>
        <w:t> </w:t>
      </w:r>
      <w:r>
        <w:rPr>
          <w:rFonts w:hint="eastAsia" w:hAnsi="Calibri" w:cs="Calibri"/>
          <w:color w:val="333333"/>
          <w:kern w:val="0"/>
          <w:sz w:val="32"/>
          <w:szCs w:val="32"/>
          <w:lang w:val="en-US" w:eastAsia="zh-CN"/>
          <w14:ligatures w14:val="none"/>
        </w:rPr>
        <w:t>2025</w:t>
      </w:r>
      <w:r>
        <w:rPr>
          <w:rFonts w:hint="eastAsia" w:ascii="仿宋_GB2312" w:hAnsi="Calibri" w:eastAsia="仿宋_GB2312" w:cs="Calibri"/>
          <w:color w:val="333333"/>
          <w:kern w:val="0"/>
          <w:sz w:val="32"/>
          <w:szCs w:val="32"/>
          <w14:ligatures w14:val="none"/>
        </w:rPr>
        <w:t>年安排公务接待经费支出0.2</w:t>
      </w:r>
      <w:r>
        <w:rPr>
          <w:rFonts w:hint="eastAsia" w:ascii="仿宋_GB2312" w:hAnsi="Calibri" w:eastAsia="仿宋_GB2312" w:cs="Calibri"/>
          <w:color w:val="333333"/>
          <w:kern w:val="0"/>
          <w:sz w:val="32"/>
          <w:szCs w:val="32"/>
          <w:lang w:val="en-US" w:eastAsia="zh-CN"/>
          <w14:ligatures w14:val="none"/>
        </w:rPr>
        <w:t>0</w:t>
      </w:r>
      <w:r>
        <w:rPr>
          <w:rFonts w:hint="eastAsia" w:ascii="仿宋_GB2312" w:hAnsi="Calibri" w:eastAsia="仿宋_GB2312" w:cs="Calibri"/>
          <w:color w:val="333333"/>
          <w:kern w:val="0"/>
          <w:sz w:val="32"/>
          <w:szCs w:val="32"/>
          <w14:ligatures w14:val="none"/>
        </w:rPr>
        <w:t>万元。</w:t>
      </w:r>
    </w:p>
    <w:p>
      <w:pPr>
        <w:pStyle w:val="5"/>
        <w:bidi w:val="0"/>
        <w:rPr>
          <w:rFonts w:hint="eastAsia"/>
        </w:rPr>
      </w:pPr>
      <w:r>
        <w:rPr>
          <w:rFonts w:hint="eastAsia"/>
        </w:rPr>
        <w:t>（三） 公务用车购置及运行费</w:t>
      </w:r>
    </w:p>
    <w:p>
      <w:pPr>
        <w:bidi w:val="0"/>
        <w:rPr>
          <w:rFonts w:hint="eastAsia"/>
        </w:rPr>
      </w:pPr>
      <w:r>
        <w:rPr>
          <w:rFonts w:hint="eastAsia"/>
        </w:rPr>
        <w:t> </w:t>
      </w:r>
      <w:r>
        <w:rPr>
          <w:rFonts w:hint="eastAsia"/>
          <w:lang w:val="en-US" w:eastAsia="zh-CN"/>
        </w:rPr>
        <w:t>2025</w:t>
      </w:r>
      <w:r>
        <w:rPr>
          <w:rFonts w:hint="eastAsia"/>
        </w:rPr>
        <w:t>年预算安排</w:t>
      </w:r>
      <w:r>
        <w:rPr>
          <w:rFonts w:hint="eastAsia"/>
          <w:lang w:val="en-US" w:eastAsia="zh-CN"/>
        </w:rPr>
        <w:t>79.00</w:t>
      </w:r>
      <w:r>
        <w:rPr>
          <w:rFonts w:hint="eastAsia"/>
        </w:rPr>
        <w:t>万元，其中：公务用车运行费</w:t>
      </w:r>
    </w:p>
    <w:p>
      <w:pPr>
        <w:bidi w:val="0"/>
        <w:ind w:left="0" w:leftChars="0" w:firstLine="0" w:firstLineChars="0"/>
        <w:rPr>
          <w:rFonts w:hint="eastAsia" w:ascii="黑体" w:hAnsi="黑体" w:eastAsia="黑体" w:cs="Calibri"/>
          <w:color w:val="333333"/>
          <w:kern w:val="0"/>
          <w:sz w:val="32"/>
          <w:szCs w:val="32"/>
          <w14:ligatures w14:val="none"/>
        </w:rPr>
      </w:pPr>
      <w:r>
        <w:rPr>
          <w:rFonts w:hint="eastAsia"/>
          <w:lang w:val="en-US" w:eastAsia="zh-CN"/>
        </w:rPr>
        <w:t>55.00</w:t>
      </w:r>
      <w:r>
        <w:rPr>
          <w:rFonts w:hint="eastAsia"/>
        </w:rPr>
        <w:t>万元。</w:t>
      </w:r>
    </w:p>
    <w:p>
      <w:pPr>
        <w:pStyle w:val="4"/>
        <w:bidi w:val="0"/>
        <w:rPr>
          <w:rFonts w:hint="eastAsia"/>
        </w:rPr>
      </w:pPr>
      <w:bookmarkStart w:id="49" w:name="_Toc1170669643_WPSOffice_Level2"/>
      <w:bookmarkStart w:id="50" w:name="_Toc1080710650_WPSOffice_Level2"/>
      <w:bookmarkStart w:id="51" w:name="_Toc611117475_WPSOffice_Level2"/>
      <w:r>
        <w:rPr>
          <w:rFonts w:hint="eastAsia"/>
        </w:rPr>
        <w:t>八、关于政府性基金预算支出表的说明</w:t>
      </w:r>
      <w:bookmarkEnd w:id="49"/>
      <w:bookmarkEnd w:id="50"/>
      <w:bookmarkEnd w:id="51"/>
    </w:p>
    <w:p>
      <w:pPr>
        <w:bidi w:val="0"/>
        <w:rPr>
          <w:rFonts w:hint="eastAsia"/>
        </w:rPr>
      </w:pPr>
      <w:r>
        <w:rPr>
          <w:rFonts w:hint="eastAsia"/>
          <w:lang w:val="en-US" w:eastAsia="zh-CN"/>
        </w:rPr>
        <w:t>2025</w:t>
      </w:r>
      <w:r>
        <w:rPr>
          <w:rFonts w:hint="eastAsia"/>
        </w:rPr>
        <w:t>年初秦皇岛海事局无政府性基金预算支出。</w:t>
      </w:r>
    </w:p>
    <w:p>
      <w:pPr>
        <w:pStyle w:val="4"/>
        <w:bidi w:val="0"/>
        <w:rPr>
          <w:rFonts w:hint="eastAsia"/>
        </w:rPr>
      </w:pPr>
      <w:bookmarkStart w:id="52" w:name="_Toc1975596438_WPSOffice_Level2"/>
      <w:bookmarkStart w:id="53" w:name="_Toc1967806653_WPSOffice_Level2"/>
      <w:bookmarkStart w:id="54" w:name="_Toc170010101_WPSOffice_Level2"/>
      <w:r>
        <w:rPr>
          <w:rFonts w:hint="eastAsia"/>
        </w:rPr>
        <w:t>九、关于国有资本经营预算支出表的说明</w:t>
      </w:r>
      <w:bookmarkEnd w:id="52"/>
      <w:bookmarkEnd w:id="53"/>
      <w:bookmarkEnd w:id="54"/>
    </w:p>
    <w:p>
      <w:pPr>
        <w:bidi w:val="0"/>
        <w:rPr>
          <w:rFonts w:hint="eastAsia"/>
        </w:rPr>
      </w:pPr>
      <w:r>
        <w:rPr>
          <w:rFonts w:hint="eastAsia"/>
          <w:lang w:val="en-US" w:eastAsia="zh-CN"/>
        </w:rPr>
        <w:t>2025</w:t>
      </w:r>
      <w:r>
        <w:rPr>
          <w:rFonts w:hint="eastAsia"/>
        </w:rPr>
        <w:t xml:space="preserve"> 年初秦皇岛海事局本级无国有资本经营预算支出。</w:t>
      </w:r>
    </w:p>
    <w:p>
      <w:pPr>
        <w:pStyle w:val="4"/>
        <w:bidi w:val="0"/>
        <w:rPr>
          <w:rFonts w:hint="eastAsia"/>
        </w:rPr>
      </w:pPr>
      <w:bookmarkStart w:id="55" w:name="_Toc1144024826_WPSOffice_Level2"/>
      <w:bookmarkStart w:id="56" w:name="_Toc812543190_WPSOffice_Level2"/>
      <w:bookmarkStart w:id="57" w:name="_Toc341345054_WPSOffice_Level2"/>
      <w:r>
        <w:rPr>
          <w:rFonts w:hint="eastAsia"/>
        </w:rPr>
        <w:t>十、其他重要事项说明</w:t>
      </w:r>
      <w:bookmarkEnd w:id="55"/>
      <w:bookmarkEnd w:id="56"/>
      <w:bookmarkEnd w:id="57"/>
    </w:p>
    <w:p>
      <w:pPr>
        <w:pStyle w:val="5"/>
        <w:bidi w:val="0"/>
        <w:rPr>
          <w:rFonts w:hint="eastAsia"/>
        </w:rPr>
      </w:pPr>
      <w:r>
        <w:rPr>
          <w:rFonts w:hint="eastAsia"/>
        </w:rPr>
        <w:t>（一）机关运行经费</w:t>
      </w:r>
    </w:p>
    <w:p>
      <w:pPr>
        <w:bidi w:val="0"/>
        <w:rPr>
          <w:rFonts w:hint="eastAsia"/>
        </w:rPr>
      </w:pPr>
      <w:r>
        <w:rPr>
          <w:rFonts w:hint="eastAsia"/>
          <w:lang w:val="en-US" w:eastAsia="zh-CN"/>
        </w:rPr>
        <w:t>2025</w:t>
      </w:r>
      <w:r>
        <w:rPr>
          <w:rFonts w:hint="eastAsia"/>
        </w:rPr>
        <w:t>年，秦皇岛海事局机关运行经费财政拨款预算</w:t>
      </w:r>
      <w:r>
        <w:rPr>
          <w:rFonts w:hint="eastAsia"/>
          <w:lang w:val="en-US" w:eastAsia="zh-CN"/>
        </w:rPr>
        <w:t>875.00</w:t>
      </w:r>
      <w:r>
        <w:rPr>
          <w:rFonts w:hint="eastAsia"/>
        </w:rPr>
        <w:t>万元，</w:t>
      </w:r>
      <w:r>
        <w:rPr>
          <w:rFonts w:hint="eastAsia"/>
          <w:lang w:eastAsia="zh-CN"/>
        </w:rPr>
        <w:t>较上年减少</w:t>
      </w:r>
      <w:r>
        <w:rPr>
          <w:rFonts w:hint="eastAsia"/>
          <w:lang w:val="en-US" w:eastAsia="zh-CN"/>
        </w:rPr>
        <w:t>0.22%</w:t>
      </w:r>
      <w:r>
        <w:rPr>
          <w:rFonts w:hint="eastAsia"/>
        </w:rPr>
        <w:t>。</w:t>
      </w:r>
    </w:p>
    <w:p>
      <w:pPr>
        <w:pStyle w:val="5"/>
        <w:bidi w:val="0"/>
        <w:rPr>
          <w:rFonts w:hint="eastAsia"/>
        </w:rPr>
      </w:pPr>
      <w:r>
        <w:rPr>
          <w:rFonts w:hint="eastAsia"/>
        </w:rPr>
        <w:t>（二） 政府采购情况</w:t>
      </w:r>
    </w:p>
    <w:p>
      <w:pPr>
        <w:bidi w:val="0"/>
        <w:rPr>
          <w:rFonts w:hint="eastAsia"/>
        </w:rPr>
      </w:pPr>
      <w:r>
        <w:rPr>
          <w:rFonts w:hint="eastAsia"/>
          <w:lang w:val="en-US" w:eastAsia="zh-CN"/>
        </w:rPr>
        <w:t>2025</w:t>
      </w:r>
      <w:r>
        <w:rPr>
          <w:rFonts w:hint="eastAsia"/>
        </w:rPr>
        <w:t>年，秦皇岛海事局政府采购预算总额</w:t>
      </w:r>
      <w:r>
        <w:rPr>
          <w:rFonts w:hint="eastAsia"/>
          <w:lang w:val="en-US" w:eastAsia="zh-CN"/>
        </w:rPr>
        <w:t>460.45</w:t>
      </w:r>
      <w:r>
        <w:rPr>
          <w:rFonts w:hint="eastAsia"/>
        </w:rPr>
        <w:t>万元， 其中：政府采购货物预算</w:t>
      </w:r>
      <w:r>
        <w:rPr>
          <w:rFonts w:hint="eastAsia"/>
          <w:lang w:val="en-US" w:eastAsia="zh-CN"/>
        </w:rPr>
        <w:t>44.35</w:t>
      </w:r>
      <w:r>
        <w:rPr>
          <w:rFonts w:hint="eastAsia"/>
        </w:rPr>
        <w:t>万元、政府采购服务预算</w:t>
      </w:r>
      <w:r>
        <w:rPr>
          <w:rFonts w:hint="eastAsia"/>
          <w:lang w:val="en-US" w:eastAsia="zh-CN"/>
        </w:rPr>
        <w:t>416.10</w:t>
      </w:r>
      <w:r>
        <w:rPr>
          <w:rFonts w:hint="eastAsia"/>
        </w:rPr>
        <w:t>万元。</w:t>
      </w:r>
    </w:p>
    <w:p>
      <w:pPr>
        <w:pStyle w:val="5"/>
        <w:bidi w:val="0"/>
        <w:rPr>
          <w:rFonts w:hint="eastAsia"/>
        </w:rPr>
      </w:pPr>
      <w:r>
        <w:rPr>
          <w:rFonts w:hint="eastAsia"/>
        </w:rPr>
        <w:t>（三） 国有资产占用使用情况</w:t>
      </w:r>
    </w:p>
    <w:p>
      <w:pPr>
        <w:bidi w:val="0"/>
        <w:rPr>
          <w:rFonts w:hint="eastAsia"/>
        </w:rPr>
      </w:pPr>
      <w:r>
        <w:rPr>
          <w:rFonts w:hint="eastAsia"/>
        </w:rPr>
        <w:t xml:space="preserve">截至 </w:t>
      </w:r>
      <w:r>
        <w:rPr>
          <w:rFonts w:hint="eastAsia"/>
          <w:lang w:val="en-US" w:eastAsia="zh-CN"/>
        </w:rPr>
        <w:t>2024</w:t>
      </w:r>
      <w:r>
        <w:rPr>
          <w:rFonts w:hint="eastAsia"/>
        </w:rPr>
        <w:t xml:space="preserve">年 12 月 31 日， 秦皇岛海事局共有车辆 23辆。单位价值 100 万元（含） 以上设备 </w:t>
      </w:r>
      <w:r>
        <w:rPr>
          <w:rFonts w:hint="eastAsia"/>
          <w:lang w:val="en-US" w:eastAsia="zh-CN"/>
        </w:rPr>
        <w:t>11</w:t>
      </w:r>
      <w:r>
        <w:rPr>
          <w:rFonts w:hint="eastAsia"/>
        </w:rPr>
        <w:t>台（套）。</w:t>
      </w:r>
    </w:p>
    <w:p>
      <w:pPr>
        <w:pStyle w:val="5"/>
        <w:bidi w:val="0"/>
        <w:rPr>
          <w:rFonts w:hint="eastAsia"/>
        </w:rPr>
      </w:pPr>
      <w:r>
        <w:rPr>
          <w:rFonts w:hint="eastAsia"/>
        </w:rPr>
        <w:t>（四） 预算绩效情况说明</w:t>
      </w:r>
    </w:p>
    <w:p>
      <w:pPr>
        <w:bidi w:val="0"/>
        <w:rPr>
          <w:rFonts w:hint="eastAsia"/>
        </w:rPr>
      </w:pPr>
      <w:r>
        <w:rPr>
          <w:rFonts w:hint="eastAsia"/>
          <w:lang w:val="en-US" w:eastAsia="zh-CN"/>
        </w:rPr>
        <w:t>2025</w:t>
      </w:r>
      <w:r>
        <w:rPr>
          <w:rFonts w:hint="eastAsia"/>
        </w:rPr>
        <w:t>年，秦皇岛海事局对项目支出全面实施绩效目标管理，涉及一般公共预算拨款</w:t>
      </w:r>
      <w:r>
        <w:rPr>
          <w:rFonts w:hint="eastAsia"/>
          <w:lang w:val="en-US" w:eastAsia="zh-CN"/>
        </w:rPr>
        <w:t>727.31</w:t>
      </w:r>
      <w:r>
        <w:rPr>
          <w:rFonts w:hint="eastAsia"/>
        </w:rPr>
        <w:t>万元。</w:t>
      </w:r>
    </w:p>
    <w:p>
      <w:pPr>
        <w:bidi w:val="0"/>
        <w:rPr>
          <w:rFonts w:hint="eastAsia"/>
        </w:rPr>
      </w:pPr>
      <w:r>
        <w:rPr>
          <w:rFonts w:hint="eastAsia"/>
        </w:rPr>
        <w:t>秦皇岛海事局坚持花钱必问效的绩效管理理念，结合以前年度绩效评价结果，推进绩效结果运用，优化预算安排， 不断提高绩效管理水平。根据部门预算公开有关要求,部分项目绩效目标表附后。</w:t>
      </w:r>
    </w:p>
    <w:p>
      <w:pPr>
        <w:pStyle w:val="4"/>
        <w:bidi w:val="0"/>
        <w:rPr>
          <w:rFonts w:hint="eastAsia"/>
        </w:rPr>
      </w:pPr>
      <w:bookmarkStart w:id="58" w:name="_Toc1403448511_WPSOffice_Level1"/>
      <w:bookmarkStart w:id="59" w:name="_Toc1474494433_WPSOffice_Level1"/>
      <w:bookmarkStart w:id="60" w:name="_Toc695569977_WPSOffice_Level1"/>
      <w:r>
        <w:rPr>
          <w:rFonts w:hint="eastAsia"/>
          <w:lang w:eastAsia="zh-CN"/>
        </w:rPr>
        <w:t>第四部分、</w:t>
      </w:r>
      <w:r>
        <w:rPr>
          <w:rFonts w:hint="eastAsia"/>
        </w:rPr>
        <w:t>名词解释</w:t>
      </w:r>
      <w:bookmarkEnd w:id="58"/>
      <w:bookmarkEnd w:id="59"/>
      <w:bookmarkEnd w:id="60"/>
    </w:p>
    <w:p>
      <w:pPr>
        <w:pStyle w:val="5"/>
        <w:bidi w:val="0"/>
        <w:rPr>
          <w:rFonts w:hint="eastAsia"/>
        </w:rPr>
      </w:pPr>
      <w:bookmarkStart w:id="61" w:name="_Toc1700823261_WPSOffice_Level2"/>
      <w:bookmarkStart w:id="62" w:name="_Toc1753251372_WPSOffice_Level2"/>
      <w:bookmarkStart w:id="63" w:name="_Toc2054953507_WPSOffice_Level2"/>
      <w:bookmarkStart w:id="64" w:name="_Toc2025241107_WPSOffice_Level2"/>
      <w:bookmarkStart w:id="65" w:name="_Toc1208239727_WPSOffice_Level2"/>
      <w:r>
        <w:rPr>
          <w:rFonts w:hint="eastAsia"/>
        </w:rPr>
        <w:t>（一）收入科目</w:t>
      </w:r>
      <w:bookmarkEnd w:id="61"/>
      <w:bookmarkEnd w:id="62"/>
      <w:bookmarkEnd w:id="63"/>
      <w:bookmarkEnd w:id="64"/>
      <w:bookmarkEnd w:id="65"/>
    </w:p>
    <w:p>
      <w:pPr>
        <w:bidi w:val="0"/>
        <w:rPr>
          <w:rFonts w:hint="eastAsia"/>
        </w:rPr>
      </w:pPr>
      <w:r>
        <w:rPr>
          <w:rFonts w:hint="eastAsia"/>
        </w:rPr>
        <w:t> 1.财政拨款收入：指中央财政当年拨付的资金。</w:t>
      </w:r>
    </w:p>
    <w:p>
      <w:pPr>
        <w:bidi w:val="0"/>
        <w:rPr>
          <w:rFonts w:hint="eastAsia"/>
        </w:rPr>
      </w:pPr>
      <w:r>
        <w:rPr>
          <w:rFonts w:hint="eastAsia"/>
        </w:rPr>
        <w:t> 2.事业单位经营收入：指事业单位在专业业务活动及其辅助活动之外开展非独立核算经营活动取得的收入。</w:t>
      </w:r>
    </w:p>
    <w:p>
      <w:pPr>
        <w:bidi w:val="0"/>
        <w:rPr>
          <w:rFonts w:hint="eastAsia"/>
        </w:rPr>
      </w:pPr>
      <w:r>
        <w:rPr>
          <w:rFonts w:hint="eastAsia"/>
        </w:rPr>
        <w:t>3.其他收入：指除上述“财政拨款收入”、“事业收入”、“事业单位经营收入”等以外的收入。主要是按规定动用的售房收入、存款利息收入等。</w:t>
      </w:r>
    </w:p>
    <w:p>
      <w:pPr>
        <w:bidi w:val="0"/>
        <w:rPr>
          <w:rFonts w:hint="eastAsia"/>
        </w:rPr>
      </w:pPr>
      <w:r>
        <w:rPr>
          <w:rFonts w:hint="eastAsia"/>
        </w:rPr>
        <w:t>4.上年结转：指以前年度尚未完成、结转到本年仍按原规定用途继续使用的资金。</w:t>
      </w:r>
    </w:p>
    <w:p>
      <w:pPr>
        <w:pStyle w:val="5"/>
        <w:bidi w:val="0"/>
        <w:rPr>
          <w:rFonts w:hint="eastAsia"/>
        </w:rPr>
      </w:pPr>
      <w:r>
        <w:rPr>
          <w:rFonts w:hint="eastAsia"/>
        </w:rPr>
        <w:t>    （二）支出科目</w:t>
      </w:r>
    </w:p>
    <w:p>
      <w:pPr>
        <w:bidi w:val="0"/>
        <w:rPr>
          <w:rFonts w:hint="eastAsia"/>
        </w:rPr>
      </w:pPr>
      <w:r>
        <w:rPr>
          <w:rFonts w:hint="eastAsia"/>
        </w:rPr>
        <w:t> 5.社会保障和就业支出（类）行政事业单位离退休（款）：  </w:t>
      </w:r>
    </w:p>
    <w:p>
      <w:pPr>
        <w:bidi w:val="0"/>
        <w:rPr>
          <w:rFonts w:hint="eastAsia"/>
        </w:rPr>
      </w:pPr>
      <w:r>
        <w:rPr>
          <w:rFonts w:hint="eastAsia"/>
        </w:rPr>
        <w:t>（1）归口管理的行政单位离退休（项）：指用于行政单位实行归口管理的离退休经费的基本支出。</w:t>
      </w:r>
    </w:p>
    <w:p>
      <w:pPr>
        <w:bidi w:val="0"/>
        <w:rPr>
          <w:rFonts w:hint="eastAsia"/>
        </w:rPr>
      </w:pPr>
      <w:r>
        <w:rPr>
          <w:rFonts w:hint="eastAsia"/>
        </w:rPr>
        <w:t>（2）事业单位离退休（项）：指用于事业单位离退休的基本支出。</w:t>
      </w:r>
    </w:p>
    <w:p>
      <w:pPr>
        <w:bidi w:val="0"/>
        <w:rPr>
          <w:rFonts w:hint="eastAsia"/>
        </w:rPr>
      </w:pPr>
      <w:r>
        <w:rPr>
          <w:rFonts w:hint="eastAsia"/>
        </w:rPr>
        <w:t>（3）机关事业单位基本养老保险缴费支出（项）：指按照机关事业单位实施养老保险制度由行政事业单位缴纳的基本养老保险费支出。</w:t>
      </w:r>
    </w:p>
    <w:p>
      <w:pPr>
        <w:bidi w:val="0"/>
        <w:rPr>
          <w:rFonts w:hint="eastAsia"/>
        </w:rPr>
      </w:pPr>
      <w:r>
        <w:rPr>
          <w:rFonts w:hint="eastAsia"/>
        </w:rPr>
        <w:t>（4）机关事业单位职业年金缴费支出（项）：指按照机关事业单位实施养老保险制度由行政事业单位缴纳职业年金支出。</w:t>
      </w:r>
    </w:p>
    <w:p>
      <w:pPr>
        <w:bidi w:val="0"/>
        <w:rPr>
          <w:rFonts w:hint="eastAsia"/>
        </w:rPr>
      </w:pPr>
      <w:r>
        <w:rPr>
          <w:rFonts w:hint="eastAsia"/>
        </w:rPr>
        <w:t>6.卫生健康（类）行政事业单位医疗（款）：行政单位医疗（项）：行政单位医疗支出。</w:t>
      </w:r>
    </w:p>
    <w:p>
      <w:pPr>
        <w:bidi w:val="0"/>
        <w:rPr>
          <w:rFonts w:hint="eastAsia"/>
        </w:rPr>
      </w:pPr>
      <w:r>
        <w:rPr>
          <w:rFonts w:hint="eastAsia"/>
        </w:rPr>
        <w:t>7.交通运输支出（类）公路水路运输（款）：</w:t>
      </w:r>
    </w:p>
    <w:p>
      <w:pPr>
        <w:bidi w:val="0"/>
        <w:rPr>
          <w:rFonts w:hint="eastAsia"/>
        </w:rPr>
      </w:pPr>
      <w:r>
        <w:rPr>
          <w:rFonts w:hint="eastAsia"/>
        </w:rPr>
        <w:t>（1）海事管理（项）：指用于海事执法和安全管理方面的支出。</w:t>
      </w:r>
    </w:p>
    <w:p>
      <w:pPr>
        <w:bidi w:val="0"/>
        <w:rPr>
          <w:rFonts w:hint="eastAsia"/>
        </w:rPr>
      </w:pPr>
      <w:r>
        <w:rPr>
          <w:rFonts w:hint="eastAsia"/>
        </w:rPr>
        <w:t>（2）其他公路水路运输支出（项）：指除上述项目之外的用于其他公路水路运输事务的支出。</w:t>
      </w:r>
    </w:p>
    <w:p>
      <w:pPr>
        <w:bidi w:val="0"/>
        <w:rPr>
          <w:rFonts w:hint="eastAsia"/>
        </w:rPr>
      </w:pPr>
      <w:r>
        <w:rPr>
          <w:rFonts w:hint="eastAsia"/>
        </w:rPr>
        <w:t> 8.交通运输支出（类）港口建设费安排的支出（款）：</w:t>
      </w:r>
    </w:p>
    <w:p>
      <w:pPr>
        <w:bidi w:val="0"/>
        <w:rPr>
          <w:rFonts w:hint="eastAsia"/>
        </w:rPr>
      </w:pPr>
      <w:r>
        <w:rPr>
          <w:rFonts w:hint="eastAsia"/>
        </w:rPr>
        <w:t>（1）航运保障系统建设（项）：指用于支持保障系统建设和管理的基本建设项目支出。</w:t>
      </w:r>
    </w:p>
    <w:p>
      <w:pPr>
        <w:bidi w:val="0"/>
        <w:rPr>
          <w:rFonts w:hint="eastAsia"/>
        </w:rPr>
      </w:pPr>
      <w:r>
        <w:rPr>
          <w:rFonts w:hint="eastAsia"/>
        </w:rPr>
        <w:t>（2）其他港口建设费安排的支出（项）：指用于基本建设以外的其他项目支出，如港建费代征手续费。</w:t>
      </w:r>
    </w:p>
    <w:p>
      <w:pPr>
        <w:bidi w:val="0"/>
        <w:rPr>
          <w:rFonts w:hint="eastAsia"/>
        </w:rPr>
      </w:pPr>
      <w:r>
        <w:rPr>
          <w:rFonts w:hint="eastAsia"/>
        </w:rPr>
        <w:t> 9.住房保障支出（类）住房改革支出（款）：</w:t>
      </w:r>
    </w:p>
    <w:p>
      <w:pPr>
        <w:bidi w:val="0"/>
        <w:rPr>
          <w:rFonts w:hint="eastAsia"/>
        </w:rPr>
      </w:pPr>
      <w:r>
        <w:rPr>
          <w:rFonts w:hint="eastAsia"/>
        </w:rPr>
        <w:t>（1）住房公积金（项）：指按照《住房公积金管理条例》的规定，按照规定的缴存基数和缴存比例为职工缴纳的住房公积金。</w:t>
      </w:r>
    </w:p>
    <w:p>
      <w:pPr>
        <w:bidi w:val="0"/>
        <w:rPr>
          <w:rFonts w:hint="eastAsia"/>
        </w:rPr>
      </w:pPr>
      <w:r>
        <w:rPr>
          <w:rFonts w:hint="eastAsia"/>
        </w:rPr>
        <w:t>（2）购房补贴（项）:是指1998 年住房分配货币化改革以后，按照国家房改政策规定，向无房职工、住房面积未达到规定标准的职工发放的补贴。在京中央单位按照《中共中央办公厅国务院办公厅转发建设部等单位&lt;关于完善在京中央和国家机关住房制度的若干意见&gt;的通知》（厅字〔2015〕8 号）规定的标准执行，京外中央单位按照所在地人民政府住房分配货币化改革的政策规定和标准执行。</w:t>
      </w:r>
    </w:p>
    <w:p>
      <w:pPr>
        <w:bidi w:val="0"/>
        <w:rPr>
          <w:rFonts w:hint="eastAsia"/>
        </w:rPr>
      </w:pPr>
      <w:r>
        <w:rPr>
          <w:rFonts w:hint="eastAsia"/>
        </w:rPr>
        <w:t>10.“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bidi w:val="0"/>
        <w:rPr>
          <w:rFonts w:hint="eastAsia"/>
        </w:rPr>
      </w:pPr>
      <w:r>
        <w:rPr>
          <w:rFonts w:hint="eastAsia"/>
        </w:rPr>
        <w:t>11.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bidi w:val="0"/>
        <w:rPr>
          <w:rFonts w:hint="eastAsia"/>
        </w:rPr>
      </w:pPr>
      <w:r>
        <w:rPr>
          <w:rFonts w:hint="eastAsia"/>
        </w:rPr>
        <w:t>12.基本支出：指为保障机构正常运转、完成日常工作任务而发生的人员支出和公用支出。</w:t>
      </w:r>
    </w:p>
    <w:p>
      <w:pPr>
        <w:bidi w:val="0"/>
        <w:rPr>
          <w:rFonts w:hint="eastAsia"/>
        </w:rPr>
      </w:pPr>
      <w:r>
        <w:rPr>
          <w:rFonts w:hint="eastAsia"/>
        </w:rPr>
        <w:t>13.项目支出：指在基本支出之外为完成特定的行政任务和事业发展目标所发生的支出。</w:t>
      </w:r>
    </w:p>
    <w:p>
      <w:pPr>
        <w:bidi w:val="0"/>
        <w:rPr>
          <w:rFonts w:hint="eastAsia"/>
        </w:rPr>
      </w:pPr>
      <w:r>
        <w:rPr>
          <w:rFonts w:hint="eastAsia"/>
        </w:rPr>
        <w:t>14.事业单位经营支出：指事业单位在专业业务活动及其辅助活动之外开展非独立核算经营活动发生的支出。</w:t>
      </w:r>
    </w:p>
    <w:p>
      <w:pPr>
        <w:pStyle w:val="2"/>
        <w:rPr>
          <w:rFonts w:hint="eastAsia"/>
        </w:rPr>
      </w:pPr>
    </w:p>
    <w:p>
      <w:pPr>
        <w:pStyle w:val="4"/>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bookmarkStart w:id="66" w:name="_Toc361076037_WPSOffice_Level1"/>
      <w:bookmarkStart w:id="67" w:name="_Toc1357356570_WPSOffice_Level1"/>
      <w:r>
        <w:rPr>
          <w:rFonts w:hint="eastAsia"/>
          <w:lang w:eastAsia="zh-CN"/>
        </w:rPr>
        <w:t>第五部分</w:t>
      </w:r>
      <w:r>
        <w:rPr>
          <w:rFonts w:hint="eastAsia"/>
          <w:lang w:val="en-US" w:eastAsia="zh-CN"/>
        </w:rPr>
        <w:t xml:space="preserve">  项目实施绩效目标表</w:t>
      </w:r>
      <w:bookmarkEnd w:id="66"/>
      <w:bookmarkEnd w:id="67"/>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1"/>
        <w:gridCol w:w="1378"/>
        <w:gridCol w:w="1733"/>
        <w:gridCol w:w="1430"/>
        <w:gridCol w:w="887"/>
        <w:gridCol w:w="1077"/>
        <w:gridCol w:w="756"/>
        <w:gridCol w:w="528"/>
        <w:gridCol w:w="1722"/>
        <w:gridCol w:w="1067"/>
        <w:gridCol w:w="1316"/>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bidi w:val="0"/>
              <w:jc w:val="center"/>
              <w:rPr>
                <w:rFonts w:hint="default" w:ascii="宋体" w:hAnsi="宋体" w:eastAsia="宋体" w:cs="宋体"/>
                <w:b/>
                <w:i w:val="0"/>
                <w:color w:val="000000"/>
                <w:szCs w:val="36"/>
                <w:u w:val="none"/>
                <w:lang w:val="en-US"/>
              </w:rPr>
            </w:pPr>
            <w:r>
              <w:rPr>
                <w:rFonts w:hint="eastAsia" w:ascii="宋体" w:hAnsi="宋体" w:eastAsia="宋体" w:cs="宋体"/>
                <w:b/>
                <w:i w:val="0"/>
                <w:color w:val="000000"/>
                <w:kern w:val="0"/>
                <w:sz w:val="36"/>
                <w:szCs w:val="36"/>
                <w:u w:val="none"/>
                <w:lang w:val="en-US" w:eastAsia="zh-CN" w:bidi="ar"/>
              </w:rPr>
              <w:t>项目实施绩效目标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102123210120020029001</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海事行政管理及执法监督业务专项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项目绩效目标：</w:t>
            </w:r>
          </w:p>
        </w:tc>
        <w:tc>
          <w:tcPr>
            <w:tcW w:w="457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1.通过选取有资质的船舶污水、压载水检测单位，组织开展船舶船舶水污染物检测、船舶压载水检测，检测结果报告作为行政处罚等执法依据。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2.采购快检耗材和船舶登记证书，确保相关执法工作正常开展。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3.根据《水上水下作业和活动通航安全保障方案编制与1.通过选取有资质的船舶污水、压载水检测单位，组织开展船舶船舶水污染物检测、船舶压载水检测，检测结果报告作为行政处罚等执法依据。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指标类型</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指标方向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目标值</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分值（权重）</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对应的支出内容</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涉及的资金规模（万元）</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绩效标准及其来源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船舶生活污水检测计划完成率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船舶压载水检测计划完成率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船舶燃油检测计划完成率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设备完好率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船舶污染防治效果</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定性指标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船舶污染防治效果显著</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监管（服务）对象满意度指标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bl>
    <w:p>
      <w:pPr>
        <w:sectPr>
          <w:pgSz w:w="16838" w:h="11906" w:orient="landscape"/>
          <w:pgMar w:top="1800" w:right="1440" w:bottom="1800" w:left="1440" w:header="851" w:footer="992" w:gutter="0"/>
          <w:pgNumType w:fmt="decimal"/>
          <w:cols w:space="425" w:num="1"/>
          <w:docGrid w:type="lines" w:linePitch="312" w:charSpace="0"/>
        </w:sectPr>
      </w:pPr>
    </w:p>
    <w:p>
      <w:pPr>
        <w:pStyle w:val="2"/>
        <w:ind w:left="0" w:leftChars="0" w:firstLine="0" w:firstLineChars="0"/>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7"/>
        <w:gridCol w:w="1604"/>
        <w:gridCol w:w="1738"/>
        <w:gridCol w:w="1596"/>
        <w:gridCol w:w="765"/>
        <w:gridCol w:w="1123"/>
        <w:gridCol w:w="950"/>
        <w:gridCol w:w="783"/>
        <w:gridCol w:w="950"/>
        <w:gridCol w:w="1033"/>
        <w:gridCol w:w="1384"/>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项目实施绩效目标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102123220120020029008</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海事行政管理及执法监督装备设施运维</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项目绩效目标：</w:t>
            </w:r>
          </w:p>
        </w:tc>
        <w:tc>
          <w:tcPr>
            <w:tcW w:w="4598"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目标1：完成码头基地设备设施年度日常维修和故障设备抢修，确保基地码头装备设施安全可用；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目标2：完成海事基地业务用房日常维修和故障设备抢修，确保一线执法人员正常开展业务工作；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目标3：完成基地码头必需的公车运行维护、物业费、水电费等，确保海事工作正常开展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指标类型</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指标方向</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目标值</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分值（权重）</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对应的支出内容</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涉及的资金规模（万元）</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绩效标准及其来源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运行维护业务用房（含基地、码头等）面积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运行维护的执法执勤车辆数量</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辆</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执法车辆维修计划完成率</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满足船舶靠泊水深率</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专用资产维护计划完成率</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设备完好率</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履行水上安全监管职责，保障水上交通安全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有效保障</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监管（服务）对象满意度</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bl>
    <w:p>
      <w:pPr>
        <w:sectPr>
          <w:pgSz w:w="16838" w:h="11906" w:orient="landscape"/>
          <w:pgMar w:top="1800" w:right="1440" w:bottom="1800" w:left="1440" w:header="851" w:footer="992" w:gutter="0"/>
          <w:pgNumType w:fmt="decimal"/>
          <w:cols w:space="425" w:num="1"/>
          <w:docGrid w:type="lines" w:linePitch="312" w:charSpace="0"/>
        </w:sectPr>
      </w:pPr>
    </w:p>
    <w:p>
      <w:pPr>
        <w:ind w:left="0" w:leftChars="0" w:firstLine="0" w:firstLineChars="0"/>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5"/>
        <w:gridCol w:w="1449"/>
        <w:gridCol w:w="1770"/>
        <w:gridCol w:w="1022"/>
        <w:gridCol w:w="623"/>
        <w:gridCol w:w="934"/>
        <w:gridCol w:w="976"/>
        <w:gridCol w:w="732"/>
        <w:gridCol w:w="1190"/>
        <w:gridCol w:w="1021"/>
        <w:gridCol w:w="1130"/>
        <w:gridCol w:w="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项目实施绩效目标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102123160120020029001</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秦皇岛海事局VTS运行维护费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项目绩效目标：</w:t>
            </w:r>
          </w:p>
        </w:tc>
        <w:tc>
          <w:tcPr>
            <w:tcW w:w="455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有效保证目标期内1个VTS中心和5个雷达站的有效运行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（1）有效保证目标期VTS设备（5个雷达站，1个VTS中心）的有效运行；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（2）持续对秦皇岛海事局VTS系统覆盖区域范围内的船舶动态实施监视；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（3）持续为船舶提供信息、助航服务，保障秦皇岛海事局VTS区域的船舶航行安全。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目标期内若开展VTS改扩建二期建设，做好配合。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指标类型</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指标方向</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目标值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分值（权重）</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对应的支出内容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涉及的资金规模（万元）</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绩效标准及其来源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运行维护的雷达站及VTS中心数量</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设备完好率</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值班人员配备达标率</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加强重点船舶跟踪监管，保障水上人命、财产安全</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定性指标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有效保障</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遇险求救响应率</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监管（服务）对象满意度</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bl>
    <w:p>
      <w:pPr>
        <w:pStyle w:val="2"/>
        <w:ind w:left="0" w:leftChars="0" w:firstLine="0" w:firstLineChars="0"/>
      </w:pPr>
    </w:p>
    <w:p>
      <w:pPr>
        <w:ind w:left="0" w:leftChars="0" w:firstLine="0" w:firstLineChars="0"/>
        <w:sectPr>
          <w:footerReference r:id="rId6" w:type="default"/>
          <w:pgSz w:w="16838" w:h="11906" w:orient="landscape"/>
          <w:pgMar w:top="1587" w:right="2098" w:bottom="1474" w:left="1984" w:header="851" w:footer="992" w:gutter="0"/>
          <w:pgNumType w:fmt="decimal"/>
          <w:cols w:space="425" w:num="1"/>
          <w:docGrid w:type="lines" w:linePitch="312" w:charSpace="0"/>
        </w:sectPr>
      </w:pPr>
    </w:p>
    <w:p>
      <w:pPr>
        <w:pStyle w:val="2"/>
        <w:ind w:left="0" w:leftChars="0" w:firstLine="0" w:firstLineChars="0"/>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2"/>
        <w:gridCol w:w="1516"/>
        <w:gridCol w:w="2199"/>
        <w:gridCol w:w="1450"/>
        <w:gridCol w:w="640"/>
        <w:gridCol w:w="656"/>
        <w:gridCol w:w="763"/>
        <w:gridCol w:w="442"/>
        <w:gridCol w:w="945"/>
        <w:gridCol w:w="992"/>
        <w:gridCol w:w="1234"/>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项目实施绩效目标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102123190120020029001</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秦皇岛海事局巡逻船运行维护费</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项目绩效目标：</w:t>
            </w:r>
          </w:p>
        </w:tc>
        <w:tc>
          <w:tcPr>
            <w:tcW w:w="458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目标1 完成管辖水域值守、巡查与救助等任务；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目标2 完成维护国家主权等专项任务；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目标3 做好船舶的运行维护，保障船舶的正常运行和应急任务顺利出航；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目标4 增强水上监管强度和力度，保障水上安全和防止船舶污染。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指标类型</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指标方向</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目标值</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分值（权重）</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对应的支出内容</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涉及的资金规模（万元）</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绩效标准及其来源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运行维护船舶数量</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艘</w:t>
            </w: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责任海区巡航的次数</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辖区水域全覆盖巡航的次数</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配备船员数量</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巡航计划完成率</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船舶总适航率</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船舶完好率</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应急处置响应率</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重要活动时段内组织开展巡航值守的次数</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监管（服务）对象满意度</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bl>
    <w:p/>
    <w:p/>
    <w:sectPr>
      <w:pgSz w:w="16838" w:h="11906" w:orient="landscape"/>
      <w:pgMar w:top="1587" w:right="2098" w:bottom="1474" w:left="198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4370705</wp:posOffset>
              </wp:positionH>
              <wp:positionV relativeFrom="paragraph">
                <wp:posOffset>-20955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44.15pt;margin-top:-1.65pt;height:144pt;width:144pt;mso-position-horizontal-relative:margin;mso-wrap-style:none;z-index:251659264;mso-width-relative:page;mso-height-relative:page;" filled="f" stroked="f" coordsize="21600,21600" o:gfxdata="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MSMstdgAAAAKAQAADwAAAAAAAAABACAAAAA4AAAAZHJzL2Rvd25yZXYueG1s&#10;UEsBAhQAFAAAAAgAh07iQOIy4A4bAgAAKQQAAA4AAAAAAAAAAQAgAAAAPQEAAGRycy9lMm9Eb2Mu&#10;eG1sUEsFBgAAAAAGAAYAWQEAAMoFAAAAAA==&#10;">
              <v:fill on="f" focussize="0,0"/>
              <v:stroke on="f" weight="0.5pt"/>
              <v:imagedata o:title=""/>
              <o:lock v:ext="edit" aspectratio="f"/>
              <v:textbox inset="0mm,0mm,0mm,0mm" style="mso-fit-shape-to-text:t;">
                <w:txbxContent>
                  <w:p>
                    <w:pPr>
                      <w:pStyle w:val="7"/>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26</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26</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D125F"/>
    <w:rsid w:val="1FDF1FD7"/>
    <w:rsid w:val="2B3B21B2"/>
    <w:rsid w:val="2FFC45F2"/>
    <w:rsid w:val="387F1875"/>
    <w:rsid w:val="57FDBC1D"/>
    <w:rsid w:val="5FF34538"/>
    <w:rsid w:val="7BFD0FE3"/>
    <w:rsid w:val="7FFF63AF"/>
    <w:rsid w:val="BEDE5FA4"/>
    <w:rsid w:val="C174B3D9"/>
    <w:rsid w:val="CFEEEEB4"/>
    <w:rsid w:val="EAD6B29F"/>
    <w:rsid w:val="EDE74221"/>
    <w:rsid w:val="F3FA13FF"/>
    <w:rsid w:val="F8DB6445"/>
    <w:rsid w:val="FBFD125F"/>
    <w:rsid w:val="FF592481"/>
    <w:rsid w:val="FFBB709C"/>
    <w:rsid w:val="FFFD2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0" w:lineRule="exact"/>
      <w:ind w:firstLine="64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link w:val="14"/>
    <w:qFormat/>
    <w:uiPriority w:val="0"/>
    <w:pPr>
      <w:keepNext/>
      <w:keepLines/>
      <w:spacing w:before="340" w:beforeLines="0" w:beforeAutospacing="0" w:after="330" w:afterLines="0" w:afterAutospacing="0" w:line="360" w:lineRule="auto"/>
      <w:ind w:firstLine="0" w:firstLineChars="0"/>
      <w:jc w:val="center"/>
      <w:outlineLvl w:val="0"/>
    </w:pPr>
    <w:rPr>
      <w:rFonts w:ascii="方正小标宋_GBK" w:hAnsi="方正小标宋_GBK" w:eastAsia="方正小标宋_GBK"/>
      <w:kern w:val="44"/>
      <w:sz w:val="44"/>
    </w:rPr>
  </w:style>
  <w:style w:type="paragraph" w:styleId="4">
    <w:name w:val="heading 2"/>
    <w:basedOn w:val="1"/>
    <w:next w:val="1"/>
    <w:link w:val="15"/>
    <w:unhideWhenUsed/>
    <w:qFormat/>
    <w:uiPriority w:val="0"/>
    <w:pPr>
      <w:keepNext/>
      <w:keepLines/>
      <w:spacing w:before="260" w:beforeLines="0" w:beforeAutospacing="0" w:after="260" w:afterLines="0" w:afterAutospacing="0" w:line="570" w:lineRule="exact"/>
      <w:outlineLvl w:val="1"/>
    </w:pPr>
    <w:rPr>
      <w:rFonts w:ascii="黑体" w:hAnsi="黑体" w:eastAsia="黑体"/>
    </w:rPr>
  </w:style>
  <w:style w:type="paragraph" w:styleId="5">
    <w:name w:val="heading 3"/>
    <w:basedOn w:val="1"/>
    <w:next w:val="1"/>
    <w:link w:val="13"/>
    <w:unhideWhenUsed/>
    <w:qFormat/>
    <w:uiPriority w:val="0"/>
    <w:pPr>
      <w:keepNext/>
      <w:keepLines/>
      <w:spacing w:before="260" w:beforeLines="0" w:beforeAutospacing="0" w:after="260" w:afterLines="0" w:afterAutospacing="0" w:line="570" w:lineRule="exact"/>
      <w:outlineLvl w:val="2"/>
    </w:pPr>
    <w:rPr>
      <w:rFonts w:ascii="楷体" w:hAnsi="楷体" w:eastAsia="楷体"/>
    </w:rPr>
  </w:style>
  <w:style w:type="paragraph" w:styleId="6">
    <w:name w:val="heading 4"/>
    <w:basedOn w:val="1"/>
    <w:next w:val="1"/>
    <w:unhideWhenUsed/>
    <w:qFormat/>
    <w:uiPriority w:val="0"/>
    <w:pPr>
      <w:keepNext/>
      <w:keepLines/>
      <w:spacing w:beforeLines="0" w:beforeAutospacing="0" w:afterLines="0" w:afterAutospacing="0" w:line="560" w:lineRule="exact"/>
      <w:outlineLvl w:val="3"/>
    </w:pPr>
    <w:rPr>
      <w:rFonts w:ascii="Arial" w:hAnsi="Arial"/>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next w:val="1"/>
    <w:qFormat/>
    <w:uiPriority w:val="0"/>
    <w:pPr>
      <w:widowControl w:val="0"/>
      <w:spacing w:after="120" w:afterLines="0"/>
      <w:ind w:left="1440" w:leftChars="700" w:right="1440" w:rightChars="700" w:firstLine="548" w:firstLineChars="200"/>
      <w:jc w:val="both"/>
    </w:pPr>
    <w:rPr>
      <w:rFonts w:ascii="Arial" w:hAnsi="Arial" w:eastAsia="宋体" w:cs="Times New Roman"/>
      <w:kern w:val="2"/>
      <w:sz w:val="24"/>
      <w:szCs w:val="20"/>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font41"/>
    <w:basedOn w:val="10"/>
    <w:qFormat/>
    <w:uiPriority w:val="0"/>
    <w:rPr>
      <w:rFonts w:hint="default" w:ascii="Calibri" w:hAnsi="Calibri" w:cs="Calibri"/>
      <w:color w:val="000000"/>
      <w:sz w:val="20"/>
      <w:szCs w:val="20"/>
      <w:u w:val="none"/>
    </w:rPr>
  </w:style>
  <w:style w:type="character" w:customStyle="1" w:styleId="12">
    <w:name w:val="font11"/>
    <w:basedOn w:val="10"/>
    <w:qFormat/>
    <w:uiPriority w:val="0"/>
    <w:rPr>
      <w:rFonts w:hint="eastAsia" w:ascii="方正书宋_GBK" w:hAnsi="方正书宋_GBK" w:eastAsia="方正书宋_GBK" w:cs="方正书宋_GBK"/>
      <w:color w:val="000000"/>
      <w:sz w:val="20"/>
      <w:szCs w:val="20"/>
      <w:u w:val="none"/>
    </w:rPr>
  </w:style>
  <w:style w:type="character" w:customStyle="1" w:styleId="13">
    <w:name w:val="标题 3 Char"/>
    <w:link w:val="5"/>
    <w:qFormat/>
    <w:uiPriority w:val="0"/>
    <w:rPr>
      <w:rFonts w:ascii="楷体" w:hAnsi="楷体" w:eastAsia="楷体"/>
    </w:rPr>
  </w:style>
  <w:style w:type="character" w:customStyle="1" w:styleId="14">
    <w:name w:val="标题 1 Char"/>
    <w:link w:val="3"/>
    <w:qFormat/>
    <w:uiPriority w:val="0"/>
    <w:rPr>
      <w:rFonts w:ascii="方正小标宋_GBK" w:hAnsi="方正小标宋_GBK" w:eastAsia="方正小标宋_GBK"/>
      <w:kern w:val="44"/>
      <w:sz w:val="44"/>
    </w:rPr>
  </w:style>
  <w:style w:type="character" w:customStyle="1" w:styleId="15">
    <w:name w:val="标题 2 Char"/>
    <w:link w:val="4"/>
    <w:qFormat/>
    <w:uiPriority w:val="0"/>
    <w:rPr>
      <w:rFonts w:ascii="黑体" w:hAnsi="黑体" w:eastAsia="黑体"/>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caiwuchu2/&#26700;&#38754;/&#39044;&#31639;&#20844;&#24320;%20&#25968;&#25454;&#34920;.et"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ome/caiwuchu2/&#26700;&#38754;/&#39044;&#31639;&#20844;&#24320;%20&#25968;&#25454;&#34920;.et"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caiwuchu2/&#26700;&#38754;/&#39044;&#31639;&#20844;&#24320;%20&#25968;&#25454;&#34920;.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rgbClr val="595959">
                    <a:lumMod val="65000"/>
                    <a:lumOff val="35000"/>
                  </a:srgbClr>
                </a:solidFill>
                <a:latin typeface="+mn-lt"/>
                <a:ea typeface="+mn-ea"/>
                <a:cs typeface="+mn-cs"/>
              </a:defRPr>
            </a:pPr>
            <a:r>
              <a:t>预算收入结构图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rgbClr val="5B9BD5"/>
              </a:solidFill>
              <a:ln w="19050">
                <a:solidFill>
                  <a:srgbClr val="FFFFFF"/>
                </a:solidFill>
              </a:ln>
              <a:effectLst/>
            </c:spPr>
          </c:dPt>
          <c:dPt>
            <c:idx val="1"/>
            <c:bubble3D val="false"/>
            <c:spPr>
              <a:solidFill>
                <a:srgbClr val="C5E0B4">
                  <a:lumMod val="40000"/>
                  <a:lumOff val="60000"/>
                </a:srgbClr>
              </a:solidFill>
              <a:ln w="19050">
                <a:solidFill>
                  <a:srgbClr val="FFFFFF"/>
                </a:solidFill>
              </a:ln>
              <a:effectLst/>
            </c:spPr>
          </c:dPt>
          <c:dPt>
            <c:idx val="2"/>
            <c:bubble3D val="false"/>
            <c:spPr>
              <a:solidFill>
                <a:srgbClr val="8FAADC">
                  <a:lumMod val="60000"/>
                  <a:lumOff val="40000"/>
                </a:srgbClr>
              </a:solidFill>
              <a:ln w="19050">
                <a:solidFill>
                  <a:srgbClr val="FFFFFF"/>
                </a:solidFill>
              </a:ln>
              <a:effectLst/>
            </c:spPr>
          </c:dPt>
          <c:dPt>
            <c:idx val="3"/>
            <c:bubble3D val="false"/>
            <c:spPr>
              <a:solidFill>
                <a:srgbClr val="FFC000"/>
              </a:solidFill>
              <a:ln w="19050">
                <a:solidFill>
                  <a:srgbClr val="FFFFFF"/>
                </a:solidFill>
              </a:ln>
              <a:effectLst/>
            </c:spPr>
          </c:dPt>
          <c:dLbls>
            <c:dLbl>
              <c:idx val="0"/>
              <c:layout>
                <c:manualLayout>
                  <c:x val="0.08125"/>
                  <c:y val="0.0104166666666667"/>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rgbClr val="404040">
                            <a:lumMod val="75000"/>
                            <a:lumOff val="25000"/>
                          </a:srgbClr>
                        </a:solidFill>
                        <a:latin typeface="+mn-lt"/>
                        <a:ea typeface="+mn-ea"/>
                        <a:cs typeface="+mn-cs"/>
                      </a:defRPr>
                    </a:pPr>
                    <a:r>
                      <a:t>其他资金1</a:t>
                    </a:r>
                    <a:r>
                      <a:rPr lang="en-US" altLang="zh-CN"/>
                      <a:t>.27</a:t>
                    </a:r>
                    <a:r>
                      <a:t>%</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rgbClr val="404040">
                            <a:lumMod val="75000"/>
                            <a:lumOff val="25000"/>
                          </a:srgbClr>
                        </a:solidFill>
                        <a:latin typeface="+mn-lt"/>
                        <a:ea typeface="+mn-ea"/>
                        <a:cs typeface="+mn-cs"/>
                      </a:defRPr>
                    </a:pPr>
                    <a:r>
                      <a:t>一般公共预算拨款6</a:t>
                    </a:r>
                    <a:r>
                      <a:rPr lang="en-US" altLang="zh-CN"/>
                      <a:t>5.55</a:t>
                    </a:r>
                    <a:r>
                      <a:t>%</a:t>
                    </a:r>
                  </a:p>
                </c:rich>
              </c:tx>
              <c:dLblPos val="out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true"/>
                  <a:lstStyle/>
                  <a:p>
                    <a:pPr defTabSz="914400">
                      <a:defRPr lang="zh-CN" sz="900" b="0" i="0" u="none" strike="noStrike" kern="1200" baseline="0">
                        <a:solidFill>
                          <a:srgbClr val="404040">
                            <a:lumMod val="75000"/>
                            <a:lumOff val="25000"/>
                          </a:srgbClr>
                        </a:solidFill>
                        <a:latin typeface="+mn-lt"/>
                        <a:ea typeface="+mn-ea"/>
                        <a:cs typeface="+mn-cs"/>
                      </a:defRPr>
                    </a:pPr>
                    <a:r>
                      <a:t>其他收入30</a:t>
                    </a:r>
                    <a:r>
                      <a:rPr lang="en-US" altLang="zh-CN"/>
                      <a:t>.09</a:t>
                    </a:r>
                    <a:r>
                      <a:t>%</a:t>
                    </a:r>
                  </a:p>
                </c:rich>
              </c:tx>
              <c:dLblPos val="out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3"/>
              <c:layout>
                <c:manualLayout>
                  <c:x val="-0.133333333333333"/>
                  <c:y val="0.0763888888888889"/>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rgbClr val="404040">
                            <a:lumMod val="75000"/>
                            <a:lumOff val="25000"/>
                          </a:srgbClr>
                        </a:solidFill>
                        <a:latin typeface="+mn-lt"/>
                        <a:ea typeface="+mn-ea"/>
                        <a:cs typeface="+mn-cs"/>
                      </a:defRPr>
                    </a:pPr>
                    <a:r>
                      <a:t>使用非财政拨款结余</a:t>
                    </a:r>
                  </a:p>
                  <a:p>
                    <a:pPr defTabSz="914400">
                      <a:defRPr lang="zh-CN" sz="900" b="0" i="0" u="none" strike="noStrike" kern="1200" baseline="0">
                        <a:solidFill>
                          <a:srgbClr val="404040">
                            <a:lumMod val="75000"/>
                            <a:lumOff val="25000"/>
                          </a:srgbClr>
                        </a:solidFill>
                        <a:latin typeface="+mn-lt"/>
                        <a:ea typeface="+mn-ea"/>
                        <a:cs typeface="+mn-cs"/>
                      </a:defRPr>
                    </a:pPr>
                    <a:r>
                      <a:rPr lang="en-US" altLang="zh-CN"/>
                      <a:t>2.98</a:t>
                    </a:r>
                    <a:r>
                      <a:t>%</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[工作簿2]Sheet2!$C$12:$F$12</c:f>
              <c:strCache>
                <c:ptCount val="4"/>
                <c:pt idx="0">
                  <c:v>其他资金</c:v>
                </c:pt>
                <c:pt idx="1">
                  <c:v>一般公共预算拨款</c:v>
                </c:pt>
                <c:pt idx="2">
                  <c:v>其他收入</c:v>
                </c:pt>
                <c:pt idx="3">
                  <c:v>使用非财政拨款结余</c:v>
                </c:pt>
              </c:strCache>
            </c:strRef>
          </c:cat>
          <c:val>
            <c:numRef>
              <c:f>[工作簿2]Sheet2!$C$13:$F$13</c:f>
              <c:numCache>
                <c:formatCode>[=0]"";#,##0.00""</c:formatCode>
                <c:ptCount val="4"/>
                <c:pt idx="0">
                  <c:v>112</c:v>
                </c:pt>
                <c:pt idx="1">
                  <c:v>5762.38</c:v>
                </c:pt>
                <c:pt idx="2">
                  <c:v>2654.08</c:v>
                </c:pt>
                <c:pt idx="3">
                  <c:v>261.87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manualLayout>
          <c:xMode val="edge"/>
          <c:yMode val="edge"/>
          <c:x val="0.120208333333333"/>
          <c:y val="0.10462962962963"/>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rgbClr val="595959">
                    <a:lumMod val="65000"/>
                    <a:lumOff val="35000"/>
                  </a:srgbClr>
                </a:solidFill>
                <a:latin typeface="+mn-lt"/>
                <a:ea typeface="+mn-ea"/>
                <a:cs typeface="+mn-cs"/>
              </a:defRPr>
            </a:pPr>
            <a:r>
              <a:rPr altLang="en-US"/>
              <a:t>支出结构图</a:t>
            </a:r>
            <a:endParaRPr altLang="en-US"/>
          </a:p>
        </c:rich>
      </c:tx>
      <c:layout>
        <c:manualLayout>
          <c:xMode val="edge"/>
          <c:yMode val="edge"/>
          <c:x val="0.00819444444444445"/>
          <c:y val="0.0173611111111111"/>
        </c:manualLayout>
      </c:layout>
      <c:overlay val="false"/>
      <c:spPr>
        <a:noFill/>
        <a:ln>
          <a:noFill/>
        </a:ln>
        <a:effectLst/>
      </c:spPr>
    </c:title>
    <c:autoTitleDeleted val="false"/>
    <c:plotArea>
      <c:layout/>
      <c:pieChart>
        <c:varyColors val="true"/>
        <c:ser>
          <c:idx val="0"/>
          <c:order val="0"/>
          <c:spPr>
            <a:solidFill>
              <a:srgbClr val="DBDBDB">
                <a:lumMod val="40000"/>
                <a:lumOff val="60000"/>
              </a:srgbClr>
            </a:solidFill>
          </c:spPr>
          <c:explosion val="0"/>
          <c:dPt>
            <c:idx val="0"/>
            <c:bubble3D val="false"/>
            <c:spPr>
              <a:solidFill>
                <a:srgbClr val="B4C7E7">
                  <a:lumMod val="40000"/>
                  <a:lumOff val="60000"/>
                </a:srgbClr>
              </a:solidFill>
              <a:ln w="19050">
                <a:solidFill>
                  <a:srgbClr val="FFFFFF"/>
                </a:solidFill>
              </a:ln>
              <a:effectLst/>
            </c:spPr>
          </c:dPt>
          <c:dPt>
            <c:idx val="1"/>
            <c:bubble3D val="false"/>
            <c:spPr>
              <a:solidFill>
                <a:srgbClr val="C5E0B4">
                  <a:lumMod val="40000"/>
                  <a:lumOff val="60000"/>
                </a:srgbClr>
              </a:solidFill>
              <a:ln w="19050">
                <a:solidFill>
                  <a:srgbClr val="FFFFFF"/>
                </a:solidFill>
              </a:ln>
              <a:effectLst/>
            </c:spPr>
          </c:dPt>
          <c:dLbls>
            <c:dLbl>
              <c:idx val="0"/>
              <c:layout>
                <c:manualLayout>
                  <c:x val="0.147916666666667"/>
                  <c:y val="-0.0898339581885407"/>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rgbClr val="404040">
                            <a:lumMod val="75000"/>
                            <a:lumOff val="25000"/>
                          </a:srgbClr>
                        </a:solidFill>
                        <a:latin typeface="+mn-lt"/>
                        <a:ea typeface="+mn-ea"/>
                        <a:cs typeface="+mn-cs"/>
                      </a:defRPr>
                    </a:pPr>
                    <a:r>
                      <a:t>基本支出91</a:t>
                    </a:r>
                    <a:r>
                      <a:rPr lang="en-US" altLang="zh-CN"/>
                      <a:t>.48</a:t>
                    </a:r>
                    <a:r>
                      <a:t>%</a:t>
                    </a:r>
                  </a:p>
                </c:rich>
              </c:tx>
              <c:dLblPos val="bestFit"/>
              <c:showLegendKey val="tru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rgbClr val="404040">
                            <a:lumMod val="75000"/>
                            <a:lumOff val="25000"/>
                          </a:srgbClr>
                        </a:solidFill>
                        <a:latin typeface="+mn-lt"/>
                        <a:ea typeface="+mn-ea"/>
                        <a:cs typeface="+mn-cs"/>
                      </a:defRPr>
                    </a:pPr>
                    <a:r>
                      <a:t>项目支出</a:t>
                    </a:r>
                  </a:p>
                  <a:p>
                    <a:pPr defTabSz="914400">
                      <a:defRPr lang="zh-CN" sz="900" b="0" i="0" u="none" strike="noStrike" kern="1200" baseline="0">
                        <a:solidFill>
                          <a:srgbClr val="404040">
                            <a:lumMod val="75000"/>
                            <a:lumOff val="25000"/>
                          </a:srgbClr>
                        </a:solidFill>
                        <a:latin typeface="+mn-lt"/>
                        <a:ea typeface="+mn-ea"/>
                        <a:cs typeface="+mn-cs"/>
                      </a:defRPr>
                    </a:pPr>
                    <a:r>
                      <a:rPr lang="en-US" altLang="zh-CN"/>
                      <a:t>8.52</a:t>
                    </a:r>
                    <a:r>
                      <a:t>%</a:t>
                    </a:r>
                  </a:p>
                </c:rich>
              </c:tx>
              <c:dLblPos val="outEnd"/>
              <c:showLegendKey val="tru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tru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'[预算公开 数据表.et]Sheet3'!$I$4:$J$4</c:f>
              <c:strCache>
                <c:ptCount val="2"/>
                <c:pt idx="0">
                  <c:v>基本支出</c:v>
                </c:pt>
                <c:pt idx="1">
                  <c:v>项目支出</c:v>
                </c:pt>
              </c:strCache>
            </c:strRef>
          </c:cat>
          <c:val>
            <c:numRef>
              <c:f>'[预算公开 数据表.et]Sheet3'!$I$5:$J$5</c:f>
              <c:numCache>
                <c:formatCode>[=0]"";#,##0.00""</c:formatCode>
                <c:ptCount val="2"/>
                <c:pt idx="0">
                  <c:v>8041.35</c:v>
                </c:pt>
                <c:pt idx="1">
                  <c:v>748.98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manualLayout>
          <c:xMode val="edge"/>
          <c:yMode val="edge"/>
          <c:x val="0.0132638888888889"/>
          <c:y val="0.115046296296296"/>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rgbClr val="595959">
                    <a:lumMod val="65000"/>
                    <a:lumOff val="35000"/>
                  </a:srgbClr>
                </a:solidFill>
                <a:latin typeface="+mn-lt"/>
                <a:ea typeface="+mn-ea"/>
                <a:cs typeface="+mn-cs"/>
              </a:defRPr>
            </a:pPr>
            <a:r>
              <a:rPr altLang="en-US"/>
              <a:t>财政拨款支出结构图</a:t>
            </a:r>
            <a:endParaRPr altLang="en-US"/>
          </a:p>
        </c:rich>
      </c:tx>
      <c:layout>
        <c:manualLayout>
          <c:xMode val="edge"/>
          <c:yMode val="edge"/>
          <c:x val="0.00416666666666667"/>
          <c:y val="0.0173611111111111"/>
        </c:manualLayout>
      </c:layout>
      <c:overlay val="false"/>
      <c:spPr>
        <a:noFill/>
        <a:ln>
          <a:noFill/>
        </a:ln>
        <a:effectLst/>
      </c:spPr>
    </c:title>
    <c:autoTitleDeleted val="false"/>
    <c:plotArea>
      <c:layout/>
      <c:pieChart>
        <c:varyColors val="true"/>
        <c:ser>
          <c:idx val="0"/>
          <c:order val="0"/>
          <c:spPr/>
          <c:explosion val="0"/>
          <c:dPt>
            <c:idx val="0"/>
            <c:bubble3D val="false"/>
            <c:spPr>
              <a:solidFill>
                <a:srgbClr val="F4B183">
                  <a:lumMod val="60000"/>
                  <a:lumOff val="40000"/>
                </a:srgbClr>
              </a:solidFill>
              <a:ln w="19050">
                <a:solidFill>
                  <a:srgbClr val="FFFFFF"/>
                </a:solidFill>
              </a:ln>
              <a:effectLst/>
            </c:spPr>
          </c:dPt>
          <c:dPt>
            <c:idx val="1"/>
            <c:bubble3D val="false"/>
            <c:spPr>
              <a:solidFill>
                <a:srgbClr val="A9D18E">
                  <a:lumMod val="60000"/>
                  <a:lumOff val="40000"/>
                </a:srgbClr>
              </a:solidFill>
              <a:ln w="19050">
                <a:solidFill>
                  <a:srgbClr val="FFFFFF"/>
                </a:solidFill>
              </a:ln>
              <a:effectLst/>
            </c:spPr>
          </c:dPt>
          <c:dPt>
            <c:idx val="2"/>
            <c:bubble3D val="false"/>
            <c:spPr>
              <a:solidFill>
                <a:srgbClr val="8FAADC">
                  <a:lumMod val="60000"/>
                  <a:lumOff val="40000"/>
                </a:srgbClr>
              </a:solidFill>
              <a:ln w="19050">
                <a:solidFill>
                  <a:srgbClr val="FFFFFF"/>
                </a:solidFill>
              </a:ln>
              <a:effectLst/>
            </c:spPr>
          </c:dPt>
          <c:dPt>
            <c:idx val="3"/>
            <c:bubble3D val="false"/>
            <c:spPr>
              <a:solidFill>
                <a:srgbClr val="FFD966">
                  <a:lumMod val="60000"/>
                  <a:lumOff val="40000"/>
                </a:srgbClr>
              </a:solidFill>
              <a:ln w="19050">
                <a:solidFill>
                  <a:srgbClr val="FFFFFF"/>
                </a:solidFill>
              </a:ln>
              <a:effectLst/>
            </c:spPr>
          </c:dPt>
          <c:dLbls>
            <c:dLbl>
              <c:idx val="0"/>
              <c:layout>
                <c:manualLayout>
                  <c:x val="0.00208333333333333"/>
                  <c:y val="-0.03125"/>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rgbClr val="404040">
                            <a:lumMod val="75000"/>
                            <a:lumOff val="25000"/>
                          </a:srgbClr>
                        </a:solidFill>
                        <a:latin typeface="+mn-lt"/>
                        <a:ea typeface="+mn-ea"/>
                        <a:cs typeface="+mn-cs"/>
                      </a:defRPr>
                    </a:pPr>
                    <a:r>
                      <a:t>社会保障和就业支出13</a:t>
                    </a:r>
                    <a:r>
                      <a:rPr lang="en-US" altLang="zh-CN"/>
                      <a:t>.51</a:t>
                    </a:r>
                    <a:r>
                      <a:t>%</a:t>
                    </a:r>
                  </a:p>
                </c:rich>
              </c:tx>
              <c:dLblPos val="bestFit"/>
              <c:showLegendKey val="tru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0375"/>
                  <c:y val="0.0416666666666667"/>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rgbClr val="404040">
                            <a:lumMod val="75000"/>
                            <a:lumOff val="25000"/>
                          </a:srgbClr>
                        </a:solidFill>
                        <a:latin typeface="+mn-lt"/>
                        <a:ea typeface="+mn-ea"/>
                        <a:cs typeface="+mn-cs"/>
                      </a:defRPr>
                    </a:pPr>
                    <a:r>
                      <a:t>卫生健康支出7</a:t>
                    </a:r>
                    <a:r>
                      <a:rPr lang="en-US" altLang="zh-CN"/>
                      <a:t>.08</a:t>
                    </a:r>
                    <a:r>
                      <a:t>%</a:t>
                    </a:r>
                  </a:p>
                </c:rich>
              </c:tx>
              <c:dLblPos val="bestFit"/>
              <c:showLegendKey val="true"/>
              <c:showVal val="false"/>
              <c:showCatName val="true"/>
              <c:showSerName val="false"/>
              <c:showPercent val="true"/>
              <c:showBubbleSize val="false"/>
              <c:separator>
</c:separator>
              <c:extLst>
                <c:ext xmlns:c15="http://schemas.microsoft.com/office/drawing/2012/chart" uri="{CE6537A1-D6FC-4f65-9D91-7224C49458BB}">
                  <c15:layout/>
                </c:ext>
              </c:extLst>
            </c:dLbl>
            <c:dLbl>
              <c:idx val="2"/>
              <c:layout>
                <c:manualLayout>
                  <c:x val="-0.0791666666666667"/>
                  <c:y val="-0.03125"/>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rgbClr val="404040">
                            <a:lumMod val="75000"/>
                            <a:lumOff val="25000"/>
                          </a:srgbClr>
                        </a:solidFill>
                        <a:latin typeface="+mn-lt"/>
                        <a:ea typeface="+mn-ea"/>
                        <a:cs typeface="+mn-cs"/>
                      </a:defRPr>
                    </a:pPr>
                    <a:r>
                      <a:t>交通运输支出</a:t>
                    </a:r>
                  </a:p>
                  <a:p>
                    <a:pPr defTabSz="914400">
                      <a:defRPr lang="zh-CN" sz="900" b="0" i="0" u="none" strike="noStrike" kern="1200" baseline="0">
                        <a:solidFill>
                          <a:srgbClr val="404040">
                            <a:lumMod val="75000"/>
                            <a:lumOff val="25000"/>
                          </a:srgbClr>
                        </a:solidFill>
                        <a:latin typeface="+mn-lt"/>
                        <a:ea typeface="+mn-ea"/>
                        <a:cs typeface="+mn-cs"/>
                      </a:defRPr>
                    </a:pPr>
                    <a:r>
                      <a:rPr lang="en-US" altLang="zh-CN"/>
                      <a:t>73.76</a:t>
                    </a:r>
                    <a:r>
                      <a:t>%</a:t>
                    </a:r>
                  </a:p>
                </c:rich>
              </c:tx>
              <c:dLblPos val="bestFit"/>
              <c:showLegendKey val="true"/>
              <c:showVal val="false"/>
              <c:showCatName val="true"/>
              <c:showSerName val="false"/>
              <c:showPercent val="true"/>
              <c:showBubbleSize val="false"/>
              <c:separator>
</c:separator>
              <c:extLst>
                <c:ext xmlns:c15="http://schemas.microsoft.com/office/drawing/2012/chart" uri="{CE6537A1-D6FC-4f65-9D91-7224C49458BB}">
                  <c15:layout/>
                </c:ext>
              </c:extLst>
            </c:dLbl>
            <c:dLbl>
              <c:idx val="3"/>
              <c:layout>
                <c:manualLayout>
                  <c:x val="-0.108333333333333"/>
                  <c:y val="0.0208333333333333"/>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rgbClr val="404040">
                            <a:lumMod val="75000"/>
                            <a:lumOff val="25000"/>
                          </a:srgbClr>
                        </a:solidFill>
                        <a:latin typeface="+mn-lt"/>
                        <a:ea typeface="+mn-ea"/>
                        <a:cs typeface="+mn-cs"/>
                      </a:defRPr>
                    </a:pPr>
                    <a:r>
                      <a:t>住房保障支出</a:t>
                    </a:r>
                  </a:p>
                  <a:p>
                    <a:pPr defTabSz="914400">
                      <a:defRPr lang="zh-CN" sz="900" b="0" i="0" u="none" strike="noStrike" kern="1200" baseline="0">
                        <a:solidFill>
                          <a:srgbClr val="404040">
                            <a:lumMod val="75000"/>
                            <a:lumOff val="25000"/>
                          </a:srgbClr>
                        </a:solidFill>
                        <a:latin typeface="+mn-lt"/>
                        <a:ea typeface="+mn-ea"/>
                        <a:cs typeface="+mn-cs"/>
                      </a:defRPr>
                    </a:pPr>
                    <a:r>
                      <a:rPr lang="en-US" altLang="zh-CN"/>
                      <a:t>5.66</a:t>
                    </a:r>
                    <a:r>
                      <a:t>%</a:t>
                    </a:r>
                  </a:p>
                </c:rich>
              </c:tx>
              <c:dLblPos val="bestFit"/>
              <c:showLegendKey val="true"/>
              <c:showVal val="fals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tru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'[预算公开 数据表.et]Sheet4'!$G$2:$G$5</c:f>
              <c:strCache>
                <c:ptCount val="4"/>
                <c:pt idx="0">
                  <c:v>社会保障和就业支出</c:v>
                </c:pt>
                <c:pt idx="1">
                  <c:v>卫生健康支出</c:v>
                </c:pt>
                <c:pt idx="2">
                  <c:v>交通运输支出</c:v>
                </c:pt>
                <c:pt idx="3">
                  <c:v>住房保障支出</c:v>
                </c:pt>
              </c:strCache>
            </c:strRef>
          </c:cat>
          <c:val>
            <c:numRef>
              <c:f>'[预算公开 数据表.et]Sheet4'!$H$2:$H$5</c:f>
              <c:numCache>
                <c:formatCode>[=0]"";#,##0.00""</c:formatCode>
                <c:ptCount val="4"/>
                <c:pt idx="0">
                  <c:v>778.33</c:v>
                </c:pt>
                <c:pt idx="1">
                  <c:v>407.74</c:v>
                </c:pt>
                <c:pt idx="2">
                  <c:v>4250.31</c:v>
                </c:pt>
                <c:pt idx="3">
                  <c:v>326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c6c3639-4664-47d6-adcb-ee1eae70890d}"/>
        <w:style w:val=""/>
        <w:category>
          <w:name w:val="常规"/>
          <w:gallery w:val="placeholder"/>
        </w:category>
        <w:types>
          <w:type w:val="bbPlcHdr"/>
        </w:types>
        <w:behaviors>
          <w:behavior w:val="content"/>
        </w:behaviors>
        <w:description w:val=""/>
        <w:guid w:val="{5c6c3639-4664-47d6-adcb-ee1eae70890d}"/>
      </w:docPartPr>
      <w:docPartBody>
        <w:p>
          <w:r>
            <w:rPr>
              <w:color w:val="808080"/>
            </w:rPr>
            <w:t>单击此处输入文字。</w:t>
          </w:r>
        </w:p>
      </w:docPartBody>
    </w:docPart>
    <w:docPart>
      <w:docPartPr>
        <w:name w:val="{83081956-ac3f-4296-8f2f-bc017dd0894d}"/>
        <w:style w:val=""/>
        <w:category>
          <w:name w:val="常规"/>
          <w:gallery w:val="placeholder"/>
        </w:category>
        <w:types>
          <w:type w:val="bbPlcHdr"/>
        </w:types>
        <w:behaviors>
          <w:behavior w:val="content"/>
        </w:behaviors>
        <w:description w:val=""/>
        <w:guid w:val="{83081956-ac3f-4296-8f2f-bc017dd0894d}"/>
      </w:docPartPr>
      <w:docPartBody>
        <w:p>
          <w:r>
            <w:rPr>
              <w:color w:val="808080"/>
            </w:rPr>
            <w:t>单击此处输入文字。</w:t>
          </w:r>
        </w:p>
      </w:docPartBody>
    </w:docPart>
    <w:docPart>
      <w:docPartPr>
        <w:name w:val="{4fc2293a-aa9a-4aa9-a6ae-57df85184ced}"/>
        <w:style w:val=""/>
        <w:category>
          <w:name w:val="常规"/>
          <w:gallery w:val="placeholder"/>
        </w:category>
        <w:types>
          <w:type w:val="bbPlcHdr"/>
        </w:types>
        <w:behaviors>
          <w:behavior w:val="content"/>
        </w:behaviors>
        <w:description w:val=""/>
        <w:guid w:val="{4fc2293a-aa9a-4aa9-a6ae-57df85184ced}"/>
      </w:docPartPr>
      <w:docPartBody>
        <w:p>
          <w:r>
            <w:rPr>
              <w:color w:val="808080"/>
            </w:rPr>
            <w:t>单击此处输入文字。</w:t>
          </w:r>
        </w:p>
      </w:docPartBody>
    </w:docPart>
    <w:docPart>
      <w:docPartPr>
        <w:name w:val="{10f161e7-7df4-4da9-8fc9-33cfd26daea2}"/>
        <w:style w:val=""/>
        <w:category>
          <w:name w:val="常规"/>
          <w:gallery w:val="placeholder"/>
        </w:category>
        <w:types>
          <w:type w:val="bbPlcHdr"/>
        </w:types>
        <w:behaviors>
          <w:behavior w:val="content"/>
        </w:behaviors>
        <w:description w:val=""/>
        <w:guid w:val="{10f161e7-7df4-4da9-8fc9-33cfd26daea2}"/>
      </w:docPartPr>
      <w:docPartBody>
        <w:p>
          <w:r>
            <w:rPr>
              <w:color w:val="808080"/>
            </w:rPr>
            <w:t>单击此处输入文字。</w:t>
          </w:r>
        </w:p>
      </w:docPartBody>
    </w:docPart>
    <w:docPart>
      <w:docPartPr>
        <w:name w:val="{8d1cdb0c-40fc-40b6-8381-62e0f965a4c3}"/>
        <w:style w:val=""/>
        <w:category>
          <w:name w:val="常规"/>
          <w:gallery w:val="placeholder"/>
        </w:category>
        <w:types>
          <w:type w:val="bbPlcHdr"/>
        </w:types>
        <w:behaviors>
          <w:behavior w:val="content"/>
        </w:behaviors>
        <w:description w:val=""/>
        <w:guid w:val="{8d1cdb0c-40fc-40b6-8381-62e0f965a4c3}"/>
      </w:docPartPr>
      <w:docPartBody>
        <w:p>
          <w:r>
            <w:rPr>
              <w:color w:val="808080"/>
            </w:rPr>
            <w:t>单击此处输入文字。</w:t>
          </w:r>
        </w:p>
      </w:docPartBody>
    </w:docPart>
    <w:docPart>
      <w:docPartPr>
        <w:name w:val="{6dfb25a3-9f28-4b60-938d-98b7b6b94d2d}"/>
        <w:style w:val=""/>
        <w:category>
          <w:name w:val="常规"/>
          <w:gallery w:val="placeholder"/>
        </w:category>
        <w:types>
          <w:type w:val="bbPlcHdr"/>
        </w:types>
        <w:behaviors>
          <w:behavior w:val="content"/>
        </w:behaviors>
        <w:description w:val=""/>
        <w:guid w:val="{6dfb25a3-9f28-4b60-938d-98b7b6b94d2d}"/>
      </w:docPartPr>
      <w:docPartBody>
        <w:p>
          <w:r>
            <w:rPr>
              <w:color w:val="808080"/>
            </w:rPr>
            <w:t>单击此处输入文字。</w:t>
          </w:r>
        </w:p>
      </w:docPartBody>
    </w:docPart>
    <w:docPart>
      <w:docPartPr>
        <w:name w:val="{99b0440c-3476-41e2-a813-1395e12a01b2}"/>
        <w:style w:val=""/>
        <w:category>
          <w:name w:val="常规"/>
          <w:gallery w:val="placeholder"/>
        </w:category>
        <w:types>
          <w:type w:val="bbPlcHdr"/>
        </w:types>
        <w:behaviors>
          <w:behavior w:val="content"/>
        </w:behaviors>
        <w:description w:val=""/>
        <w:guid w:val="{99b0440c-3476-41e2-a813-1395e12a01b2}"/>
      </w:docPartPr>
      <w:docPartBody>
        <w:p>
          <w:r>
            <w:rPr>
              <w:color w:val="808080"/>
            </w:rPr>
            <w:t>单击此处输入文字。</w:t>
          </w:r>
        </w:p>
      </w:docPartBody>
    </w:docPart>
    <w:docPart>
      <w:docPartPr>
        <w:name w:val="{0eeb0e30-905e-43a4-a66c-df1d379dadba}"/>
        <w:style w:val=""/>
        <w:category>
          <w:name w:val="常规"/>
          <w:gallery w:val="placeholder"/>
        </w:category>
        <w:types>
          <w:type w:val="bbPlcHdr"/>
        </w:types>
        <w:behaviors>
          <w:behavior w:val="content"/>
        </w:behaviors>
        <w:description w:val=""/>
        <w:guid w:val="{0eeb0e30-905e-43a4-a66c-df1d379dadba}"/>
      </w:docPartPr>
      <w:docPartBody>
        <w:p>
          <w:r>
            <w:rPr>
              <w:color w:val="808080"/>
            </w:rPr>
            <w:t>单击此处输入文字。</w:t>
          </w:r>
        </w:p>
      </w:docPartBody>
    </w:docPart>
    <w:docPart>
      <w:docPartPr>
        <w:name w:val="{8e0dce39-17ce-486b-ad88-08537722180f}"/>
        <w:style w:val=""/>
        <w:category>
          <w:name w:val="常规"/>
          <w:gallery w:val="placeholder"/>
        </w:category>
        <w:types>
          <w:type w:val="bbPlcHdr"/>
        </w:types>
        <w:behaviors>
          <w:behavior w:val="content"/>
        </w:behaviors>
        <w:description w:val=""/>
        <w:guid w:val="{8e0dce39-17ce-486b-ad88-08537722180f}"/>
      </w:docPartPr>
      <w:docPartBody>
        <w:p>
          <w:r>
            <w:rPr>
              <w:color w:val="808080"/>
            </w:rPr>
            <w:t>单击此处输入文字。</w:t>
          </w:r>
        </w:p>
      </w:docPartBody>
    </w:docPart>
    <w:docPart>
      <w:docPartPr>
        <w:name w:val="{712182d3-3e9f-476b-b8be-fca8eae91d25}"/>
        <w:style w:val=""/>
        <w:category>
          <w:name w:val="常规"/>
          <w:gallery w:val="placeholder"/>
        </w:category>
        <w:types>
          <w:type w:val="bbPlcHdr"/>
        </w:types>
        <w:behaviors>
          <w:behavior w:val="content"/>
        </w:behaviors>
        <w:description w:val=""/>
        <w:guid w:val="{712182d3-3e9f-476b-b8be-fca8eae91d25}"/>
      </w:docPartPr>
      <w:docPartBody>
        <w:p>
          <w:r>
            <w:rPr>
              <w:color w:val="808080"/>
            </w:rPr>
            <w:t>单击此处输入文字。</w:t>
          </w:r>
        </w:p>
      </w:docPartBody>
    </w:docPart>
    <w:docPart>
      <w:docPartPr>
        <w:name w:val="{965527c4-eae4-4662-be3e-d87f39802d61}"/>
        <w:style w:val=""/>
        <w:category>
          <w:name w:val="常规"/>
          <w:gallery w:val="placeholder"/>
        </w:category>
        <w:types>
          <w:type w:val="bbPlcHdr"/>
        </w:types>
        <w:behaviors>
          <w:behavior w:val="content"/>
        </w:behaviors>
        <w:description w:val=""/>
        <w:guid w:val="{965527c4-eae4-4662-be3e-d87f39802d61}"/>
      </w:docPartPr>
      <w:docPartBody>
        <w:p>
          <w:r>
            <w:rPr>
              <w:color w:val="808080"/>
            </w:rPr>
            <w:t>单击此处输入文字。</w:t>
          </w:r>
        </w:p>
      </w:docPartBody>
    </w:docPart>
    <w:docPart>
      <w:docPartPr>
        <w:name w:val="{d57796a5-3b91-48a6-b0c5-7358483d53d3}"/>
        <w:style w:val=""/>
        <w:category>
          <w:name w:val="常规"/>
          <w:gallery w:val="placeholder"/>
        </w:category>
        <w:types>
          <w:type w:val="bbPlcHdr"/>
        </w:types>
        <w:behaviors>
          <w:behavior w:val="content"/>
        </w:behaviors>
        <w:description w:val=""/>
        <w:guid w:val="{d57796a5-3b91-48a6-b0c5-7358483d53d3}"/>
      </w:docPartPr>
      <w:docPartBody>
        <w:p>
          <w:r>
            <w:rPr>
              <w:color w:val="808080"/>
            </w:rPr>
            <w:t>单击此处输入文字。</w:t>
          </w:r>
        </w:p>
      </w:docPartBody>
    </w:docPart>
    <w:docPart>
      <w:docPartPr>
        <w:name w:val="{c92cf923-4585-43df-88d8-bedc3a365f7f}"/>
        <w:style w:val=""/>
        <w:category>
          <w:name w:val="常规"/>
          <w:gallery w:val="placeholder"/>
        </w:category>
        <w:types>
          <w:type w:val="bbPlcHdr"/>
        </w:types>
        <w:behaviors>
          <w:behavior w:val="content"/>
        </w:behaviors>
        <w:description w:val=""/>
        <w:guid w:val="{c92cf923-4585-43df-88d8-bedc3a365f7f}"/>
      </w:docPartPr>
      <w:docPartBody>
        <w:p>
          <w:r>
            <w:rPr>
              <w:color w:val="808080"/>
            </w:rPr>
            <w:t>单击此处输入文字。</w:t>
          </w:r>
        </w:p>
      </w:docPartBody>
    </w:docPart>
    <w:docPart>
      <w:docPartPr>
        <w:name w:val="{e9c6eabc-0824-4a1f-9387-237091a12a05}"/>
        <w:style w:val=""/>
        <w:category>
          <w:name w:val="常规"/>
          <w:gallery w:val="placeholder"/>
        </w:category>
        <w:types>
          <w:type w:val="bbPlcHdr"/>
        </w:types>
        <w:behaviors>
          <w:behavior w:val="content"/>
        </w:behaviors>
        <w:description w:val=""/>
        <w:guid w:val="{e9c6eabc-0824-4a1f-9387-237091a12a05}"/>
      </w:docPartPr>
      <w:docPartBody>
        <w:p>
          <w:r>
            <w:rPr>
              <w:color w:val="808080"/>
            </w:rPr>
            <w:t>单击此处输入文字。</w:t>
          </w:r>
        </w:p>
      </w:docPartBody>
    </w:docPart>
    <w:docPart>
      <w:docPartPr>
        <w:name w:val="{168b7aa1-962f-44b6-b484-67390d2fe17b}"/>
        <w:style w:val=""/>
        <w:category>
          <w:name w:val="常规"/>
          <w:gallery w:val="placeholder"/>
        </w:category>
        <w:types>
          <w:type w:val="bbPlcHdr"/>
        </w:types>
        <w:behaviors>
          <w:behavior w:val="content"/>
        </w:behaviors>
        <w:description w:val=""/>
        <w:guid w:val="{168b7aa1-962f-44b6-b484-67390d2fe17b}"/>
      </w:docPartPr>
      <w:docPartBody>
        <w:p>
          <w:r>
            <w:rPr>
              <w:color w:val="808080"/>
            </w:rPr>
            <w:t>单击此处输入文字。</w:t>
          </w:r>
        </w:p>
      </w:docPartBody>
    </w:docPart>
    <w:docPart>
      <w:docPartPr>
        <w:name w:val="{b328bdc6-dae7-4eb9-8223-8750a3b0f3e1}"/>
        <w:style w:val=""/>
        <w:category>
          <w:name w:val="常规"/>
          <w:gallery w:val="placeholder"/>
        </w:category>
        <w:types>
          <w:type w:val="bbPlcHdr"/>
        </w:types>
        <w:behaviors>
          <w:behavior w:val="content"/>
        </w:behaviors>
        <w:description w:val=""/>
        <w:guid w:val="{b328bdc6-dae7-4eb9-8223-8750a3b0f3e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2025-04-26T16:54:00Z</dcterms:created>
  <dc:creator>caiwuchu2</dc:creator>
  <cp:lastModifiedBy>caiwuchu2</cp:lastModifiedBy>
  <dcterms:modified xsi:type="dcterms:W3CDTF">2025-04-25T15:01:12Z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