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left"/>
        <w:rPr>
          <w:rFonts w:ascii="黑体" w:hAnsi="宋体" w:eastAsia="黑体" w:cs="Times New Roman"/>
          <w:b/>
          <w:kern w:val="0"/>
          <w:sz w:val="44"/>
          <w:szCs w:val="44"/>
        </w:rPr>
      </w:pPr>
    </w:p>
    <w:p>
      <w:pPr>
        <w:adjustRightInd w:val="0"/>
        <w:snapToGrid w:val="0"/>
        <w:spacing w:line="360" w:lineRule="auto"/>
        <w:jc w:val="left"/>
        <w:rPr>
          <w:rFonts w:ascii="黑体" w:hAnsi="宋体" w:eastAsia="黑体" w:cs="Times New Roman"/>
          <w:b/>
          <w:kern w:val="0"/>
          <w:sz w:val="44"/>
          <w:szCs w:val="44"/>
        </w:rPr>
      </w:pPr>
    </w:p>
    <w:p>
      <w:pPr>
        <w:adjustRightInd w:val="0"/>
        <w:snapToGrid w:val="0"/>
        <w:spacing w:line="360" w:lineRule="auto"/>
        <w:jc w:val="center"/>
        <w:rPr>
          <w:rFonts w:ascii="黑体" w:hAnsi="宋体" w:eastAsia="黑体" w:cs="Times New Roman"/>
          <w:b/>
          <w:kern w:val="0"/>
          <w:sz w:val="44"/>
          <w:szCs w:val="44"/>
        </w:rPr>
      </w:pPr>
    </w:p>
    <w:p>
      <w:pPr>
        <w:adjustRightInd w:val="0"/>
        <w:snapToGrid w:val="0"/>
        <w:spacing w:line="360" w:lineRule="auto"/>
        <w:jc w:val="center"/>
        <w:rPr>
          <w:rFonts w:ascii="黑体" w:hAnsi="宋体" w:eastAsia="黑体" w:cs="Times New Roman"/>
          <w:b/>
          <w:kern w:val="0"/>
          <w:sz w:val="72"/>
          <w:szCs w:val="72"/>
        </w:rPr>
      </w:pPr>
    </w:p>
    <w:p>
      <w:pPr>
        <w:adjustRightInd w:val="0"/>
        <w:snapToGrid w:val="0"/>
        <w:spacing w:line="360" w:lineRule="auto"/>
        <w:jc w:val="center"/>
        <w:rPr>
          <w:rFonts w:ascii="黑体" w:hAnsi="宋体" w:eastAsia="黑体" w:cs="Times New Roman"/>
          <w:b/>
          <w:kern w:val="0"/>
          <w:sz w:val="72"/>
          <w:szCs w:val="72"/>
        </w:rPr>
      </w:pPr>
      <w:r>
        <w:rPr>
          <w:rFonts w:hint="eastAsia" w:ascii="黑体" w:hAnsi="宋体" w:eastAsia="黑体" w:cs="Times New Roman"/>
          <w:b/>
          <w:kern w:val="0"/>
          <w:sz w:val="72"/>
          <w:szCs w:val="72"/>
        </w:rPr>
        <w:t>河北海事局</w:t>
      </w:r>
      <w:r>
        <w:rPr>
          <w:rFonts w:hint="eastAsia" w:ascii="黑体" w:hAnsi="宋体" w:eastAsia="黑体" w:cs="Times New Roman"/>
          <w:b/>
          <w:kern w:val="0"/>
          <w:sz w:val="72"/>
          <w:szCs w:val="72"/>
          <w:lang w:eastAsia="zh-CN"/>
        </w:rPr>
        <w:t>本级</w:t>
      </w:r>
      <w:r>
        <w:rPr>
          <w:rFonts w:hint="eastAsia" w:ascii="黑体" w:hAnsi="宋体" w:eastAsia="黑体" w:cs="Times New Roman"/>
          <w:b/>
          <w:kern w:val="0"/>
          <w:sz w:val="72"/>
          <w:szCs w:val="72"/>
        </w:rPr>
        <w:t>部门决算</w:t>
      </w:r>
    </w:p>
    <w:p>
      <w:pPr>
        <w:adjustRightInd w:val="0"/>
        <w:snapToGrid w:val="0"/>
        <w:spacing w:line="360" w:lineRule="auto"/>
        <w:jc w:val="center"/>
        <w:rPr>
          <w:rFonts w:ascii="黑体" w:hAnsi="宋体" w:eastAsia="黑体" w:cs="Times New Roman"/>
          <w:b/>
          <w:kern w:val="0"/>
          <w:sz w:val="72"/>
          <w:szCs w:val="72"/>
        </w:rPr>
      </w:pPr>
      <w:r>
        <w:rPr>
          <w:rFonts w:hint="eastAsia" w:ascii="黑体" w:hAnsi="宋体" w:eastAsia="黑体" w:cs="Times New Roman"/>
          <w:b/>
          <w:kern w:val="0"/>
          <w:sz w:val="72"/>
          <w:szCs w:val="72"/>
        </w:rPr>
        <w:t>（202</w:t>
      </w:r>
      <w:r>
        <w:rPr>
          <w:rFonts w:hint="eastAsia" w:ascii="黑体" w:hAnsi="宋体" w:eastAsia="黑体" w:cs="Times New Roman"/>
          <w:b/>
          <w:kern w:val="0"/>
          <w:sz w:val="72"/>
          <w:szCs w:val="72"/>
          <w:lang w:val="en-US" w:eastAsia="zh-CN"/>
        </w:rPr>
        <w:t>4</w:t>
      </w:r>
      <w:r>
        <w:rPr>
          <w:rFonts w:hint="eastAsia" w:ascii="黑体" w:hAnsi="宋体" w:eastAsia="黑体" w:cs="Times New Roman"/>
          <w:b/>
          <w:kern w:val="0"/>
          <w:sz w:val="72"/>
          <w:szCs w:val="72"/>
        </w:rPr>
        <w:t>年）</w:t>
      </w:r>
    </w:p>
    <w:p>
      <w:pPr>
        <w:adjustRightInd w:val="0"/>
        <w:snapToGrid w:val="0"/>
        <w:spacing w:line="360" w:lineRule="auto"/>
        <w:jc w:val="center"/>
        <w:rPr>
          <w:rFonts w:ascii="Calibri" w:hAnsi="Calibri" w:eastAsia="仿宋_GB2312" w:cs="Times New Roman"/>
          <w:b/>
          <w:bCs/>
          <w:kern w:val="0"/>
          <w:sz w:val="32"/>
        </w:rPr>
      </w:pPr>
    </w:p>
    <w:p>
      <w:pPr>
        <w:tabs>
          <w:tab w:val="left" w:pos="5608"/>
        </w:tabs>
        <w:snapToGrid w:val="0"/>
        <w:jc w:val="left"/>
        <w:rPr>
          <w:rFonts w:ascii="Calibri" w:hAnsi="Calibri" w:eastAsia="仿宋_GB2312" w:cs="Times New Roman"/>
          <w:kern w:val="0"/>
          <w:sz w:val="32"/>
        </w:rPr>
      </w:pPr>
      <w:r>
        <w:rPr>
          <w:rFonts w:ascii="Calibri" w:hAnsi="Calibri" w:eastAsia="仿宋_GB2312" w:cs="Times New Roman"/>
          <w:kern w:val="0"/>
          <w:sz w:val="32"/>
        </w:rPr>
        <w:tab/>
      </w:r>
    </w:p>
    <w:p>
      <w:pPr>
        <w:widowControl/>
        <w:jc w:val="left"/>
        <w:rPr>
          <w:rFonts w:ascii="Calibri" w:hAnsi="Calibri" w:eastAsia="仿宋_GB2312" w:cs="Times New Roman"/>
          <w:snapToGrid w:val="0"/>
          <w:kern w:val="0"/>
          <w:sz w:val="32"/>
        </w:rPr>
        <w:sectPr>
          <w:footerReference r:id="rId3" w:type="default"/>
          <w:pgSz w:w="11906" w:h="16838"/>
          <w:pgMar w:top="2041" w:right="1531" w:bottom="2041" w:left="153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p>
    <w:sdt>
      <w:sdtPr>
        <w:rPr>
          <w:rFonts w:ascii="宋体" w:hAnsi="宋体" w:eastAsia="宋体" w:cstheme="minorBidi"/>
          <w:kern w:val="2"/>
          <w:sz w:val="21"/>
          <w:szCs w:val="22"/>
          <w:lang w:val="en-US" w:eastAsia="zh-CN" w:bidi="ar-SA"/>
        </w:rPr>
        <w:id w:val="8496808"/>
        <w:docPartObj>
          <w:docPartGallery w:val="Table of Contents"/>
          <w:docPartUnique/>
        </w:docPartObj>
      </w:sdtPr>
      <w:sdtEndPr>
        <w:rPr>
          <w:rFonts w:hint="eastAsia" w:ascii="仿宋_GB2312" w:hAnsi="仿宋_GB2312" w:eastAsia="仿宋_GB2312" w:cs="仿宋_GB2312"/>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bookmarkStart w:id="0" w:name="_Toc643829034_WPSOffice_Type2"/>
          <w:bookmarkStart w:id="1" w:name="_Toc424398400"/>
          <w:r>
            <w:rPr>
              <w:rFonts w:hint="eastAsia" w:ascii="黑体" w:hAnsi="黑体" w:eastAsia="黑体" w:cs="黑体"/>
              <w:sz w:val="36"/>
              <w:szCs w:val="36"/>
            </w:rPr>
            <w:t>目录</w:t>
          </w:r>
        </w:p>
        <w:p>
          <w:pPr>
            <w:pStyle w:val="28"/>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_Toc1313443915_WPSOffice_Level1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8496808"/>
              <w:placeholder>
                <w:docPart w:val="{01a1d5a5-081c-4125-94f0-95b4abacf220}"/>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第一部分  河北海事局概况</w:t>
              </w:r>
            </w:sdtContent>
          </w:sdt>
          <w:r>
            <w:rPr>
              <w:rFonts w:hint="eastAsia" w:ascii="仿宋_GB2312" w:hAnsi="仿宋_GB2312" w:eastAsia="仿宋_GB2312" w:cs="仿宋_GB2312"/>
              <w:b/>
              <w:bCs/>
              <w:sz w:val="28"/>
              <w:szCs w:val="28"/>
            </w:rPr>
            <w:tab/>
          </w:r>
          <w:bookmarkStart w:id="2" w:name="_Toc1313443915_WPSOffice_Level1Page"/>
          <w:r>
            <w:rPr>
              <w:rFonts w:hint="eastAsia" w:ascii="仿宋_GB2312" w:hAnsi="仿宋_GB2312" w:eastAsia="仿宋_GB2312" w:cs="仿宋_GB2312"/>
              <w:b/>
              <w:bCs/>
              <w:sz w:val="28"/>
              <w:szCs w:val="28"/>
            </w:rPr>
            <w:t>1</w:t>
          </w:r>
          <w:bookmarkEnd w:id="2"/>
          <w:r>
            <w:rPr>
              <w:rFonts w:hint="eastAsia" w:ascii="仿宋_GB2312" w:hAnsi="仿宋_GB2312" w:eastAsia="仿宋_GB2312" w:cs="仿宋_GB2312"/>
              <w:b/>
              <w:bCs/>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_Toc643829034_WPSOffice_Level2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2d7580b0-ca77-4cad-a06e-898caab1dad1}"/>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一、主要职能</w:t>
              </w:r>
            </w:sdtContent>
          </w:sdt>
          <w:r>
            <w:rPr>
              <w:rFonts w:hint="eastAsia" w:ascii="仿宋_GB2312" w:hAnsi="仿宋_GB2312" w:eastAsia="仿宋_GB2312" w:cs="仿宋_GB2312"/>
              <w:sz w:val="28"/>
              <w:szCs w:val="28"/>
            </w:rPr>
            <w:tab/>
          </w:r>
          <w:bookmarkStart w:id="3" w:name="_Toc643829034_WPSOffice_Level2Page"/>
          <w:r>
            <w:rPr>
              <w:rFonts w:hint="eastAsia" w:ascii="仿宋_GB2312" w:hAnsi="仿宋_GB2312" w:eastAsia="仿宋_GB2312" w:cs="仿宋_GB2312"/>
              <w:sz w:val="28"/>
              <w:szCs w:val="28"/>
            </w:rPr>
            <w:t>1</w:t>
          </w:r>
          <w:bookmarkEnd w:id="3"/>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_Toc93803468_WPSOffice_Level2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81657ecb-534c-4dae-b864-c25c47078d18}"/>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二、机构设置</w:t>
              </w:r>
            </w:sdtContent>
          </w:sdt>
          <w:r>
            <w:rPr>
              <w:rFonts w:hint="eastAsia" w:ascii="仿宋_GB2312" w:hAnsi="仿宋_GB2312" w:eastAsia="仿宋_GB2312" w:cs="仿宋_GB2312"/>
              <w:sz w:val="28"/>
              <w:szCs w:val="28"/>
            </w:rPr>
            <w:tab/>
          </w:r>
          <w:bookmarkStart w:id="4" w:name="_Toc93803468_WPSOffice_Level2Page"/>
          <w:r>
            <w:rPr>
              <w:rFonts w:hint="eastAsia" w:ascii="仿宋_GB2312" w:hAnsi="仿宋_GB2312" w:eastAsia="仿宋_GB2312" w:cs="仿宋_GB2312"/>
              <w:sz w:val="28"/>
              <w:szCs w:val="28"/>
            </w:rPr>
            <w:t>3</w:t>
          </w:r>
          <w:bookmarkEnd w:id="4"/>
          <w:r>
            <w:rPr>
              <w:rFonts w:hint="eastAsia" w:ascii="仿宋_GB2312" w:hAnsi="仿宋_GB2312" w:eastAsia="仿宋_GB2312" w:cs="仿宋_GB2312"/>
              <w:sz w:val="28"/>
              <w:szCs w:val="28"/>
            </w:rPr>
            <w:fldChar w:fldCharType="end"/>
          </w:r>
        </w:p>
        <w:p>
          <w:pPr>
            <w:pStyle w:val="28"/>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_Toc643829034_WPSOffice_Level1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8496808"/>
              <w:placeholder>
                <w:docPart w:val="{2ac60f8a-7d59-4a07-a85e-d8b53d0f2cfc}"/>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第二部分 河北海事局2024年度部门决算表</w:t>
              </w:r>
            </w:sdtContent>
          </w:sdt>
          <w:r>
            <w:rPr>
              <w:rFonts w:hint="eastAsia" w:ascii="仿宋_GB2312" w:hAnsi="仿宋_GB2312" w:eastAsia="仿宋_GB2312" w:cs="仿宋_GB2312"/>
              <w:b/>
              <w:bCs/>
              <w:sz w:val="28"/>
              <w:szCs w:val="28"/>
            </w:rPr>
            <w:tab/>
          </w:r>
          <w:bookmarkStart w:id="5" w:name="_Toc643829034_WPSOffice_Level1Page"/>
          <w:r>
            <w:rPr>
              <w:rFonts w:hint="eastAsia" w:ascii="仿宋_GB2312" w:hAnsi="仿宋_GB2312" w:eastAsia="仿宋_GB2312" w:cs="仿宋_GB2312"/>
              <w:b/>
              <w:bCs/>
              <w:sz w:val="28"/>
              <w:szCs w:val="28"/>
            </w:rPr>
            <w:t>4</w:t>
          </w:r>
          <w:bookmarkEnd w:id="5"/>
          <w:r>
            <w:rPr>
              <w:rFonts w:hint="eastAsia" w:ascii="仿宋_GB2312" w:hAnsi="仿宋_GB2312" w:eastAsia="仿宋_GB2312" w:cs="仿宋_GB2312"/>
              <w:b/>
              <w:bCs/>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_Toc699144020_WPSOffice_Level2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52f4c17c-ec65-4c37-b6c9-21d762e69293}"/>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一、收入支出决算总表</w:t>
              </w:r>
            </w:sdtContent>
          </w:sdt>
          <w:r>
            <w:rPr>
              <w:rFonts w:hint="eastAsia" w:ascii="仿宋_GB2312" w:hAnsi="仿宋_GB2312" w:eastAsia="仿宋_GB2312" w:cs="仿宋_GB2312"/>
              <w:sz w:val="28"/>
              <w:szCs w:val="28"/>
            </w:rPr>
            <w:tab/>
          </w:r>
          <w:bookmarkStart w:id="6" w:name="_Toc699144020_WPSOffice_Level2Page"/>
          <w:r>
            <w:rPr>
              <w:rFonts w:hint="eastAsia" w:ascii="仿宋_GB2312" w:hAnsi="仿宋_GB2312" w:eastAsia="仿宋_GB2312" w:cs="仿宋_GB2312"/>
              <w:sz w:val="28"/>
              <w:szCs w:val="28"/>
            </w:rPr>
            <w:t>4</w:t>
          </w:r>
          <w:bookmarkEnd w:id="6"/>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_Toc532949324_WPSOffice_Level2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643930b4-765a-4f11-a62b-e6556c276efb}"/>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二、收入决算表</w:t>
              </w:r>
            </w:sdtContent>
          </w:sdt>
          <w:r>
            <w:rPr>
              <w:rFonts w:hint="eastAsia" w:ascii="仿宋_GB2312" w:hAnsi="仿宋_GB2312" w:eastAsia="仿宋_GB2312" w:cs="仿宋_GB2312"/>
              <w:sz w:val="28"/>
              <w:szCs w:val="28"/>
            </w:rPr>
            <w:tab/>
          </w:r>
          <w:bookmarkStart w:id="7" w:name="_Toc532949324_WPSOffice_Level2Page"/>
          <w:r>
            <w:rPr>
              <w:rFonts w:hint="eastAsia" w:ascii="仿宋_GB2312" w:hAnsi="仿宋_GB2312" w:eastAsia="仿宋_GB2312" w:cs="仿宋_GB2312"/>
              <w:sz w:val="28"/>
              <w:szCs w:val="28"/>
            </w:rPr>
            <w:t>5</w:t>
          </w:r>
          <w:bookmarkEnd w:id="7"/>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_Toc894645949_WPSOffice_Level2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06e5765c-328c-4b10-93b3-3d04535cc4fa}"/>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三、支出决算表</w:t>
              </w:r>
            </w:sdtContent>
          </w:sdt>
          <w:r>
            <w:rPr>
              <w:rFonts w:hint="eastAsia" w:ascii="仿宋_GB2312" w:hAnsi="仿宋_GB2312" w:eastAsia="仿宋_GB2312" w:cs="仿宋_GB2312"/>
              <w:sz w:val="28"/>
              <w:szCs w:val="28"/>
            </w:rPr>
            <w:tab/>
          </w:r>
          <w:bookmarkStart w:id="8" w:name="_Toc894645949_WPSOffice_Level2Page"/>
          <w:r>
            <w:rPr>
              <w:rFonts w:hint="eastAsia" w:ascii="仿宋_GB2312" w:hAnsi="仿宋_GB2312" w:eastAsia="仿宋_GB2312" w:cs="仿宋_GB2312"/>
              <w:sz w:val="28"/>
              <w:szCs w:val="28"/>
            </w:rPr>
            <w:t>7</w:t>
          </w:r>
          <w:bookmarkEnd w:id="8"/>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_Toc2115693502_WPSOffice_Level2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ba521604-3790-4b9b-ba6f-52e40e25ea0c}"/>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四、财政拨款收入支出决算总表</w:t>
              </w:r>
            </w:sdtContent>
          </w:sdt>
          <w:r>
            <w:rPr>
              <w:rFonts w:hint="eastAsia" w:ascii="仿宋_GB2312" w:hAnsi="仿宋_GB2312" w:eastAsia="仿宋_GB2312" w:cs="仿宋_GB2312"/>
              <w:sz w:val="28"/>
              <w:szCs w:val="28"/>
            </w:rPr>
            <w:tab/>
          </w:r>
          <w:bookmarkStart w:id="9" w:name="_Toc2115693502_WPSOffice_Level2Page"/>
          <w:r>
            <w:rPr>
              <w:rFonts w:hint="eastAsia" w:ascii="仿宋_GB2312" w:hAnsi="仿宋_GB2312" w:eastAsia="仿宋_GB2312" w:cs="仿宋_GB2312"/>
              <w:sz w:val="28"/>
              <w:szCs w:val="28"/>
            </w:rPr>
            <w:t>9</w:t>
          </w:r>
          <w:bookmarkEnd w:id="9"/>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_Toc9519567_WPSOffice_Level2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a1948d70-5a21-41ef-83ee-5cdf3e897631}"/>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五、一般公共预算财政拨款支出决算表</w:t>
              </w:r>
            </w:sdtContent>
          </w:sdt>
          <w:r>
            <w:rPr>
              <w:rFonts w:hint="eastAsia" w:ascii="仿宋_GB2312" w:hAnsi="仿宋_GB2312" w:eastAsia="仿宋_GB2312" w:cs="仿宋_GB2312"/>
              <w:sz w:val="28"/>
              <w:szCs w:val="28"/>
            </w:rPr>
            <w:tab/>
          </w:r>
          <w:bookmarkStart w:id="10" w:name="_Toc9519567_WPSOffice_Level2Page"/>
          <w:r>
            <w:rPr>
              <w:rFonts w:hint="eastAsia" w:ascii="仿宋_GB2312" w:hAnsi="仿宋_GB2312" w:eastAsia="仿宋_GB2312" w:cs="仿宋_GB2312"/>
              <w:sz w:val="28"/>
              <w:szCs w:val="28"/>
            </w:rPr>
            <w:t>10</w:t>
          </w:r>
          <w:bookmarkEnd w:id="10"/>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_Toc873745486_WPSOffice_Level2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0a51fbf9-772e-40c0-a70b-df387ed28688}"/>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六、一般公共预算财政拨款基本支出决算表</w:t>
              </w:r>
            </w:sdtContent>
          </w:sdt>
          <w:r>
            <w:rPr>
              <w:rFonts w:hint="eastAsia" w:ascii="仿宋_GB2312" w:hAnsi="仿宋_GB2312" w:eastAsia="仿宋_GB2312" w:cs="仿宋_GB2312"/>
              <w:sz w:val="28"/>
              <w:szCs w:val="28"/>
            </w:rPr>
            <w:tab/>
          </w:r>
          <w:bookmarkStart w:id="11" w:name="_Toc873745486_WPSOffice_Level2Page"/>
          <w:r>
            <w:rPr>
              <w:rFonts w:hint="eastAsia" w:ascii="仿宋_GB2312" w:hAnsi="仿宋_GB2312" w:eastAsia="仿宋_GB2312" w:cs="仿宋_GB2312"/>
              <w:sz w:val="28"/>
              <w:szCs w:val="28"/>
            </w:rPr>
            <w:t>11</w:t>
          </w:r>
          <w:bookmarkEnd w:id="11"/>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_Toc1440845048_WPSOffice_Level2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3b86901a-c390-474e-83aa-b60f27fa1fd4}"/>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七、政府性基金预算财政拨款收入支出决算表</w:t>
              </w:r>
            </w:sdtContent>
          </w:sdt>
          <w:r>
            <w:rPr>
              <w:rFonts w:hint="eastAsia" w:ascii="仿宋_GB2312" w:hAnsi="仿宋_GB2312" w:eastAsia="仿宋_GB2312" w:cs="仿宋_GB2312"/>
              <w:sz w:val="28"/>
              <w:szCs w:val="28"/>
            </w:rPr>
            <w:tab/>
          </w:r>
          <w:bookmarkStart w:id="12" w:name="_Toc1440845048_WPSOffice_Level2Page"/>
          <w:r>
            <w:rPr>
              <w:rFonts w:hint="eastAsia" w:ascii="仿宋_GB2312" w:hAnsi="仿宋_GB2312" w:eastAsia="仿宋_GB2312" w:cs="仿宋_GB2312"/>
              <w:sz w:val="28"/>
              <w:szCs w:val="28"/>
            </w:rPr>
            <w:t>14</w:t>
          </w:r>
          <w:bookmarkEnd w:id="12"/>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_Toc1146751018_WPSOffice_Level2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b2afba34-bafd-4256-88d8-44bda95ccd1e}"/>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八、国有资本经营预算财政拨款支出决算表</w:t>
              </w:r>
            </w:sdtContent>
          </w:sdt>
          <w:r>
            <w:rPr>
              <w:rFonts w:hint="eastAsia" w:ascii="仿宋_GB2312" w:hAnsi="仿宋_GB2312" w:eastAsia="仿宋_GB2312" w:cs="仿宋_GB2312"/>
              <w:sz w:val="28"/>
              <w:szCs w:val="28"/>
            </w:rPr>
            <w:tab/>
          </w:r>
          <w:bookmarkStart w:id="13" w:name="_Toc1146751018_WPSOffice_Level2Page"/>
          <w:r>
            <w:rPr>
              <w:rFonts w:hint="eastAsia" w:ascii="仿宋_GB2312" w:hAnsi="仿宋_GB2312" w:eastAsia="仿宋_GB2312" w:cs="仿宋_GB2312"/>
              <w:sz w:val="28"/>
              <w:szCs w:val="28"/>
            </w:rPr>
            <w:t>15</w:t>
          </w:r>
          <w:bookmarkEnd w:id="13"/>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_Toc1065004618_WPSOffice_Level2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cab3061d-34d5-41af-a2d9-12d77ff72ea2}"/>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九、一般公共预算财政拨款“三公”经费支出决算表</w:t>
              </w:r>
            </w:sdtContent>
          </w:sdt>
          <w:r>
            <w:rPr>
              <w:rFonts w:hint="eastAsia" w:ascii="仿宋_GB2312" w:hAnsi="仿宋_GB2312" w:eastAsia="仿宋_GB2312" w:cs="仿宋_GB2312"/>
              <w:sz w:val="28"/>
              <w:szCs w:val="28"/>
            </w:rPr>
            <w:tab/>
          </w:r>
          <w:bookmarkStart w:id="14" w:name="_Toc1065004618_WPSOffice_Level2Page"/>
          <w:r>
            <w:rPr>
              <w:rFonts w:hint="eastAsia" w:ascii="仿宋_GB2312" w:hAnsi="仿宋_GB2312" w:eastAsia="仿宋_GB2312" w:cs="仿宋_GB2312"/>
              <w:sz w:val="28"/>
              <w:szCs w:val="28"/>
            </w:rPr>
            <w:t>16</w:t>
          </w:r>
          <w:bookmarkEnd w:id="14"/>
          <w:r>
            <w:rPr>
              <w:rFonts w:hint="eastAsia" w:ascii="仿宋_GB2312" w:hAnsi="仿宋_GB2312" w:eastAsia="仿宋_GB2312" w:cs="仿宋_GB2312"/>
              <w:sz w:val="28"/>
              <w:szCs w:val="28"/>
            </w:rPr>
            <w:fldChar w:fldCharType="end"/>
          </w:r>
        </w:p>
        <w:p>
          <w:pPr>
            <w:pStyle w:val="28"/>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_Toc93803468_WPSOffice_Level1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8496808"/>
              <w:placeholder>
                <w:docPart w:val="{0e40887e-c35d-46b0-b898-f89a05159542}"/>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第三部分 河北海事局本级2024年度部门决算</w:t>
              </w:r>
            </w:sdtContent>
          </w:sdt>
          <w:r>
            <w:rPr>
              <w:rFonts w:hint="eastAsia" w:ascii="仿宋_GB2312" w:hAnsi="仿宋_GB2312" w:eastAsia="仿宋_GB2312" w:cs="仿宋_GB2312"/>
              <w:b/>
              <w:bCs/>
              <w:sz w:val="28"/>
              <w:szCs w:val="28"/>
            </w:rPr>
            <w:tab/>
          </w:r>
          <w:bookmarkStart w:id="15" w:name="_Toc93803468_WPSOffice_Level1Page"/>
          <w:r>
            <w:rPr>
              <w:rFonts w:hint="eastAsia" w:ascii="仿宋_GB2312" w:hAnsi="仿宋_GB2312" w:eastAsia="仿宋_GB2312" w:cs="仿宋_GB2312"/>
              <w:b/>
              <w:bCs/>
              <w:sz w:val="28"/>
              <w:szCs w:val="28"/>
            </w:rPr>
            <w:t>17</w:t>
          </w:r>
          <w:bookmarkEnd w:id="15"/>
          <w:r>
            <w:rPr>
              <w:rFonts w:hint="eastAsia" w:ascii="仿宋_GB2312" w:hAnsi="仿宋_GB2312" w:eastAsia="仿宋_GB2312" w:cs="仿宋_GB2312"/>
              <w:b/>
              <w:bCs/>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_Toc1392953274_WPSOffice_Level2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006eebd1-c685-49d5-a7b4-11ee36d8d27a}"/>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一、关于收支情况总体说明</w:t>
              </w:r>
            </w:sdtContent>
          </w:sdt>
          <w:r>
            <w:rPr>
              <w:rFonts w:hint="eastAsia" w:ascii="仿宋_GB2312" w:hAnsi="仿宋_GB2312" w:eastAsia="仿宋_GB2312" w:cs="仿宋_GB2312"/>
              <w:sz w:val="28"/>
              <w:szCs w:val="28"/>
            </w:rPr>
            <w:tab/>
          </w:r>
          <w:bookmarkStart w:id="16" w:name="_Toc1392953274_WPSOffice_Level2Page"/>
          <w:r>
            <w:rPr>
              <w:rFonts w:hint="eastAsia" w:ascii="仿宋_GB2312" w:hAnsi="仿宋_GB2312" w:eastAsia="仿宋_GB2312" w:cs="仿宋_GB2312"/>
              <w:sz w:val="28"/>
              <w:szCs w:val="28"/>
            </w:rPr>
            <w:t>17</w:t>
          </w:r>
          <w:bookmarkEnd w:id="16"/>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_Toc1164120073_WPSOffice_Level2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24cd7518-b0dd-434b-a4a3-14199e84d0d4}"/>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二、一般公共预算财政拨款支出决算情况说明</w:t>
              </w:r>
            </w:sdtContent>
          </w:sdt>
          <w:r>
            <w:rPr>
              <w:rFonts w:hint="eastAsia" w:ascii="仿宋_GB2312" w:hAnsi="仿宋_GB2312" w:eastAsia="仿宋_GB2312" w:cs="仿宋_GB2312"/>
              <w:sz w:val="28"/>
              <w:szCs w:val="28"/>
            </w:rPr>
            <w:tab/>
          </w:r>
          <w:bookmarkStart w:id="17" w:name="_Toc1164120073_WPSOffice_Level2Page"/>
          <w:r>
            <w:rPr>
              <w:rFonts w:hint="eastAsia" w:ascii="仿宋_GB2312" w:hAnsi="仿宋_GB2312" w:eastAsia="仿宋_GB2312" w:cs="仿宋_GB2312"/>
              <w:sz w:val="28"/>
              <w:szCs w:val="28"/>
            </w:rPr>
            <w:t>18</w:t>
          </w:r>
          <w:bookmarkEnd w:id="17"/>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_Toc19787297_WPSOffice_Level2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0adbf05e-24a5-403e-9f0b-ea80c4114391}"/>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三、一般公共预算财政拨款基本支出决算情况说明</w:t>
              </w:r>
            </w:sdtContent>
          </w:sdt>
          <w:r>
            <w:rPr>
              <w:rFonts w:hint="eastAsia" w:ascii="仿宋_GB2312" w:hAnsi="仿宋_GB2312" w:eastAsia="仿宋_GB2312" w:cs="仿宋_GB2312"/>
              <w:sz w:val="28"/>
              <w:szCs w:val="28"/>
            </w:rPr>
            <w:tab/>
          </w:r>
          <w:bookmarkStart w:id="18" w:name="_Toc19787297_WPSOffice_Level2Page"/>
          <w:r>
            <w:rPr>
              <w:rFonts w:hint="eastAsia" w:ascii="仿宋_GB2312" w:hAnsi="仿宋_GB2312" w:eastAsia="仿宋_GB2312" w:cs="仿宋_GB2312"/>
              <w:sz w:val="28"/>
              <w:szCs w:val="28"/>
            </w:rPr>
            <w:t>20</w:t>
          </w:r>
          <w:bookmarkEnd w:id="18"/>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_Toc1307147287_WPSOffice_Level2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e4390a0f-c09e-40b7-b347-a6ba2ab65f58}"/>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四、政府性基金预算财政拨款收入支出决算情况说明</w:t>
              </w:r>
            </w:sdtContent>
          </w:sdt>
          <w:r>
            <w:rPr>
              <w:rFonts w:hint="eastAsia" w:ascii="仿宋_GB2312" w:hAnsi="仿宋_GB2312" w:eastAsia="仿宋_GB2312" w:cs="仿宋_GB2312"/>
              <w:sz w:val="28"/>
              <w:szCs w:val="28"/>
            </w:rPr>
            <w:tab/>
          </w:r>
          <w:bookmarkStart w:id="19" w:name="_Toc1307147287_WPSOffice_Level2Page"/>
          <w:r>
            <w:rPr>
              <w:rFonts w:hint="eastAsia" w:ascii="仿宋_GB2312" w:hAnsi="仿宋_GB2312" w:eastAsia="仿宋_GB2312" w:cs="仿宋_GB2312"/>
              <w:sz w:val="28"/>
              <w:szCs w:val="28"/>
            </w:rPr>
            <w:t>20</w:t>
          </w:r>
          <w:bookmarkEnd w:id="19"/>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_Toc1477347499_WPSOffice_Level2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219524f7-c140-4626-88d1-d0e7729aca23}"/>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五、关于国有资本预算财政拨款支出决算情况说明</w:t>
              </w:r>
            </w:sdtContent>
          </w:sdt>
          <w:r>
            <w:rPr>
              <w:rFonts w:hint="eastAsia" w:ascii="仿宋_GB2312" w:hAnsi="仿宋_GB2312" w:eastAsia="仿宋_GB2312" w:cs="仿宋_GB2312"/>
              <w:sz w:val="28"/>
              <w:szCs w:val="28"/>
            </w:rPr>
            <w:tab/>
          </w:r>
          <w:bookmarkStart w:id="20" w:name="_Toc1477347499_WPSOffice_Level2Page"/>
          <w:r>
            <w:rPr>
              <w:rFonts w:hint="eastAsia" w:ascii="仿宋_GB2312" w:hAnsi="仿宋_GB2312" w:eastAsia="仿宋_GB2312" w:cs="仿宋_GB2312"/>
              <w:sz w:val="28"/>
              <w:szCs w:val="28"/>
            </w:rPr>
            <w:t>20</w:t>
          </w:r>
          <w:bookmarkEnd w:id="20"/>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_Toc352280214_WPSOffice_Level2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a9099c46-07b0-4f49-a95b-67a3ca12c5bc}"/>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六、财政拨款“三公”经费支出决算情况说明</w:t>
              </w:r>
            </w:sdtContent>
          </w:sdt>
          <w:r>
            <w:rPr>
              <w:rFonts w:hint="eastAsia" w:ascii="仿宋_GB2312" w:hAnsi="仿宋_GB2312" w:eastAsia="仿宋_GB2312" w:cs="仿宋_GB2312"/>
              <w:sz w:val="28"/>
              <w:szCs w:val="28"/>
            </w:rPr>
            <w:tab/>
          </w:r>
          <w:bookmarkStart w:id="21" w:name="_Toc352280214_WPSOffice_Level2Page"/>
          <w:r>
            <w:rPr>
              <w:rFonts w:hint="eastAsia" w:ascii="仿宋_GB2312" w:hAnsi="仿宋_GB2312" w:eastAsia="仿宋_GB2312" w:cs="仿宋_GB2312"/>
              <w:sz w:val="28"/>
              <w:szCs w:val="28"/>
            </w:rPr>
            <w:t>21</w:t>
          </w:r>
          <w:bookmarkEnd w:id="21"/>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_Toc1842797428_WPSOffice_Level2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8496808"/>
              <w:placeholder>
                <w:docPart w:val="{5fbd3a9f-f1bf-49a6-a2c9-f6b0ce50a0fd}"/>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七、其他重要事项情况说明</w:t>
              </w:r>
            </w:sdtContent>
          </w:sdt>
          <w:r>
            <w:rPr>
              <w:rFonts w:hint="eastAsia" w:ascii="仿宋_GB2312" w:hAnsi="仿宋_GB2312" w:eastAsia="仿宋_GB2312" w:cs="仿宋_GB2312"/>
              <w:sz w:val="28"/>
              <w:szCs w:val="28"/>
            </w:rPr>
            <w:tab/>
          </w:r>
          <w:bookmarkStart w:id="22" w:name="_Toc1842797428_WPSOffice_Level2Page"/>
          <w:r>
            <w:rPr>
              <w:rFonts w:hint="eastAsia" w:ascii="仿宋_GB2312" w:hAnsi="仿宋_GB2312" w:eastAsia="仿宋_GB2312" w:cs="仿宋_GB2312"/>
              <w:sz w:val="28"/>
              <w:szCs w:val="28"/>
            </w:rPr>
            <w:t>21</w:t>
          </w:r>
          <w:bookmarkEnd w:id="22"/>
          <w:r>
            <w:rPr>
              <w:rFonts w:hint="eastAsia" w:ascii="仿宋_GB2312" w:hAnsi="仿宋_GB2312" w:eastAsia="仿宋_GB2312" w:cs="仿宋_GB2312"/>
              <w:sz w:val="28"/>
              <w:szCs w:val="28"/>
            </w:rPr>
            <w:fldChar w:fldCharType="end"/>
          </w:r>
        </w:p>
        <w:p>
          <w:pPr>
            <w:pStyle w:val="28"/>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_Toc699144020_WPSOffice_Level1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8496808"/>
              <w:placeholder>
                <w:docPart w:val="{66a4bb4e-ea24-47f7-ba0d-075f2fb07c88}"/>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第四部分 名词解释</w:t>
              </w:r>
            </w:sdtContent>
          </w:sdt>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lang w:val="en-US" w:eastAsia="zh-CN"/>
            </w:rPr>
            <w:t>4</w:t>
          </w:r>
        </w:p>
        <w:bookmarkEnd w:id="0"/>
        <w:p>
          <w:pPr>
            <w:adjustRightInd w:val="0"/>
            <w:snapToGrid w:val="0"/>
            <w:spacing w:line="580" w:lineRule="exact"/>
            <w:ind w:right="-41" w:rightChars="-20"/>
            <w:jc w:val="center"/>
            <w:rPr>
              <w:rFonts w:hint="eastAsia" w:ascii="黑体" w:hAnsi="Calibri" w:eastAsia="黑体" w:cs="Times New Roman"/>
              <w:b/>
              <w:kern w:val="0"/>
              <w:sz w:val="36"/>
              <w:szCs w:val="36"/>
            </w:rPr>
          </w:pPr>
        </w:p>
      </w:sdtContent>
    </w:sdt>
    <w:p>
      <w:pPr>
        <w:adjustRightInd w:val="0"/>
        <w:snapToGrid w:val="0"/>
        <w:spacing w:line="580" w:lineRule="exact"/>
        <w:ind w:right="-41" w:rightChars="-20"/>
        <w:jc w:val="center"/>
        <w:rPr>
          <w:rFonts w:hint="eastAsia" w:ascii="黑体" w:hAnsi="Calibri" w:eastAsia="黑体" w:cs="Times New Roman"/>
          <w:b/>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580" w:lineRule="exact"/>
        <w:ind w:right="-41" w:rightChars="-20"/>
        <w:jc w:val="center"/>
        <w:textAlignment w:val="auto"/>
        <w:outlineLvl w:val="0"/>
        <w:rPr>
          <w:rFonts w:hint="eastAsia" w:ascii="黑体" w:hAnsi="Calibri" w:eastAsia="黑体" w:cs="Times New Roman"/>
          <w:b/>
          <w:kern w:val="0"/>
          <w:sz w:val="36"/>
          <w:szCs w:val="36"/>
        </w:rPr>
        <w:sectPr>
          <w:footerReference r:id="rId4" w:type="default"/>
          <w:pgSz w:w="11906" w:h="16838"/>
          <w:pgMar w:top="2041" w:right="1531" w:bottom="2041" w:left="1531" w:header="851" w:footer="1616" w:gutter="0"/>
          <w:pgBorders>
            <w:top w:val="none" w:sz="0" w:space="0"/>
            <w:left w:val="none" w:sz="0" w:space="0"/>
            <w:bottom w:val="none" w:sz="0" w:space="0"/>
            <w:right w:val="none" w:sz="0" w:space="0"/>
          </w:pgBorders>
          <w:pgNumType w:fmt="decimal" w:start="1"/>
          <w:cols w:space="720" w:num="1"/>
          <w:docGrid w:type="linesAndChars" w:linePitch="579" w:charSpace="-849"/>
        </w:sectPr>
      </w:pPr>
      <w:bookmarkStart w:id="23" w:name="_Toc1313443915_WPSOffice_Level1"/>
    </w:p>
    <w:p>
      <w:pPr>
        <w:keepNext w:val="0"/>
        <w:keepLines w:val="0"/>
        <w:pageBreakBefore w:val="0"/>
        <w:widowControl w:val="0"/>
        <w:kinsoku/>
        <w:wordWrap/>
        <w:overflowPunct/>
        <w:topLinePunct w:val="0"/>
        <w:autoSpaceDE/>
        <w:autoSpaceDN/>
        <w:bidi w:val="0"/>
        <w:adjustRightInd w:val="0"/>
        <w:snapToGrid w:val="0"/>
        <w:spacing w:line="580" w:lineRule="exact"/>
        <w:ind w:right="-41" w:rightChars="-20"/>
        <w:jc w:val="center"/>
        <w:textAlignment w:val="auto"/>
        <w:outlineLvl w:val="0"/>
        <w:rPr>
          <w:rFonts w:ascii="黑体" w:hAnsi="Calibri" w:eastAsia="黑体" w:cs="Times New Roman"/>
          <w:b/>
          <w:kern w:val="0"/>
          <w:sz w:val="36"/>
          <w:szCs w:val="36"/>
        </w:rPr>
      </w:pPr>
      <w:r>
        <w:rPr>
          <w:rFonts w:hint="eastAsia" w:ascii="黑体" w:hAnsi="Calibri" w:eastAsia="黑体" w:cs="Times New Roman"/>
          <w:b/>
          <w:kern w:val="0"/>
          <w:sz w:val="36"/>
          <w:szCs w:val="36"/>
        </w:rPr>
        <w:t>第一部分  河北海事局概况</w:t>
      </w:r>
      <w:bookmarkEnd w:id="1"/>
      <w:bookmarkEnd w:id="23"/>
    </w:p>
    <w:p>
      <w:pPr>
        <w:adjustRightInd w:val="0"/>
        <w:snapToGrid w:val="0"/>
        <w:spacing w:line="580" w:lineRule="exact"/>
        <w:ind w:right="-41" w:rightChars="-20"/>
        <w:rPr>
          <w:rFonts w:ascii="黑体" w:hAnsi="Calibri" w:eastAsia="黑体" w:cs="Times New Roman"/>
          <w:kern w:val="0"/>
          <w:sz w:val="30"/>
          <w:szCs w:val="30"/>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41" w:rightChars="-20" w:firstLine="632" w:firstLineChars="200"/>
        <w:textAlignment w:val="auto"/>
        <w:outlineLvl w:val="1"/>
        <w:rPr>
          <w:rFonts w:ascii="黑体" w:hAnsi="Calibri" w:eastAsia="黑体" w:cs="Times New Roman"/>
          <w:b w:val="0"/>
          <w:bCs/>
          <w:kern w:val="0"/>
          <w:sz w:val="32"/>
          <w:szCs w:val="32"/>
        </w:rPr>
      </w:pPr>
      <w:bookmarkStart w:id="24" w:name="_Toc424398401"/>
      <w:bookmarkStart w:id="25" w:name="_Toc643829034_WPSOffice_Level2"/>
      <w:r>
        <w:rPr>
          <w:rFonts w:hint="eastAsia" w:ascii="黑体" w:hAnsi="Calibri" w:eastAsia="黑体" w:cs="Times New Roman"/>
          <w:b w:val="0"/>
          <w:bCs/>
          <w:kern w:val="0"/>
          <w:sz w:val="32"/>
          <w:szCs w:val="32"/>
          <w:lang w:eastAsia="zh-CN"/>
        </w:rPr>
        <w:t>一、</w:t>
      </w:r>
      <w:r>
        <w:rPr>
          <w:rFonts w:hint="eastAsia" w:ascii="黑体" w:hAnsi="Calibri" w:eastAsia="黑体" w:cs="Times New Roman"/>
          <w:b w:val="0"/>
          <w:bCs/>
          <w:kern w:val="0"/>
          <w:sz w:val="32"/>
          <w:szCs w:val="32"/>
        </w:rPr>
        <w:t>主要职能</w:t>
      </w:r>
      <w:bookmarkEnd w:id="24"/>
      <w:bookmarkEnd w:id="25"/>
    </w:p>
    <w:p>
      <w:pPr>
        <w:keepNext w:val="0"/>
        <w:keepLines w:val="0"/>
        <w:pageBreakBefore w:val="0"/>
        <w:widowControl/>
        <w:kinsoku/>
        <w:wordWrap/>
        <w:overflowPunct/>
        <w:topLinePunct w:val="0"/>
        <w:autoSpaceDE/>
        <w:autoSpaceDN/>
        <w:bidi w:val="0"/>
        <w:adjustRightInd/>
        <w:snapToGrid w:val="0"/>
        <w:spacing w:line="580" w:lineRule="exact"/>
        <w:ind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河北海事局履行水上交通安全监督管理、船舶及相关水上设施检验和登记、防治船舶污染等行政管理和执法职责。主要职责如下：</w:t>
      </w:r>
    </w:p>
    <w:p>
      <w:pPr>
        <w:keepNext w:val="0"/>
        <w:keepLines w:val="0"/>
        <w:pageBreakBefore w:val="0"/>
        <w:widowControl/>
        <w:kinsoku/>
        <w:wordWrap/>
        <w:overflowPunct/>
        <w:topLinePunct w:val="0"/>
        <w:autoSpaceDE/>
        <w:autoSpaceDN/>
        <w:bidi w:val="0"/>
        <w:adjustRightInd/>
        <w:snapToGrid w:val="0"/>
        <w:spacing w:line="580" w:lineRule="exact"/>
        <w:ind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（一）贯彻和执行国家水上交通安全、航海保障、船舶和水上设施检验、环境保护、海洋管理等方面的法律、法规和规章，实施有关多边与双边国际条约，结合本辖区实际情况，制定实施细则，并监督执行。</w:t>
      </w:r>
    </w:p>
    <w:p>
      <w:pPr>
        <w:keepNext w:val="0"/>
        <w:keepLines w:val="0"/>
        <w:pageBreakBefore w:val="0"/>
        <w:widowControl/>
        <w:kinsoku/>
        <w:wordWrap/>
        <w:overflowPunct/>
        <w:topLinePunct w:val="0"/>
        <w:autoSpaceDE/>
        <w:autoSpaceDN/>
        <w:bidi w:val="0"/>
        <w:adjustRightInd/>
        <w:snapToGrid w:val="0"/>
        <w:spacing w:line="580" w:lineRule="exact"/>
        <w:ind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二）管理或负责规定区域内国际航行船舶和国内航行船舶的船舶登记以及船舶法定配备的操作性手册与文书审核签发工作；负责辖区内外国籍船舶管理工作和审理外国籍船舶（包括港澳地区船舶）进入本辖区未开放水域或港口的申请，并按规定程序上报审批；负责口岸的海事管理工作。</w:t>
      </w:r>
    </w:p>
    <w:p>
      <w:pPr>
        <w:keepNext w:val="0"/>
        <w:keepLines w:val="0"/>
        <w:pageBreakBefore w:val="0"/>
        <w:widowControl/>
        <w:kinsoku/>
        <w:wordWrap/>
        <w:overflowPunct/>
        <w:topLinePunct w:val="0"/>
        <w:autoSpaceDE/>
        <w:autoSpaceDN/>
        <w:bidi w:val="0"/>
        <w:adjustRightInd/>
        <w:snapToGrid w:val="0"/>
        <w:spacing w:line="580" w:lineRule="exact"/>
        <w:ind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三）按照授权，负责船舶检验机构、引航机构、船员服务机构、海员外派机构和培训机构的监督管理工作；负责辖区航运公司安全与防污染监督管理工作，以及船舶所有人、经营人实施有关法律、法规、国际公约的指导和管理工作。</w:t>
      </w:r>
    </w:p>
    <w:p>
      <w:pPr>
        <w:keepNext w:val="0"/>
        <w:keepLines w:val="0"/>
        <w:pageBreakBefore w:val="0"/>
        <w:widowControl/>
        <w:kinsoku/>
        <w:wordWrap/>
        <w:overflowPunct/>
        <w:topLinePunct w:val="0"/>
        <w:autoSpaceDE/>
        <w:autoSpaceDN/>
        <w:bidi w:val="0"/>
        <w:adjustRightInd/>
        <w:snapToGrid w:val="0"/>
        <w:spacing w:line="580" w:lineRule="exact"/>
        <w:ind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（四）按照授权，负责船员、引航员和海上设施工作人员适任资格的注册、培训、考试和发证管理、船员服务簿和海员出入境证件发放及管理、船员专业与特殊培训管理及其考试发证工作。</w:t>
      </w:r>
    </w:p>
    <w:p>
      <w:pPr>
        <w:keepNext w:val="0"/>
        <w:keepLines w:val="0"/>
        <w:pageBreakBefore w:val="0"/>
        <w:widowControl/>
        <w:kinsoku/>
        <w:wordWrap/>
        <w:overflowPunct/>
        <w:topLinePunct w:val="0"/>
        <w:autoSpaceDE/>
        <w:autoSpaceDN/>
        <w:bidi w:val="0"/>
        <w:adjustRightInd/>
        <w:snapToGrid w:val="0"/>
        <w:spacing w:line="580" w:lineRule="exact"/>
        <w:ind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五）负责辖区内重大水上交通事故、重大污染事故处置及调查处理的组织、指挥和协调工作；负责组织、指导或具体实施辖区船舶防台、水上搜寻救助及水上交通事故、污染事故、水上交通违法案件的调查处理工作。</w:t>
      </w:r>
    </w:p>
    <w:p>
      <w:pPr>
        <w:keepNext w:val="0"/>
        <w:keepLines w:val="0"/>
        <w:pageBreakBefore w:val="0"/>
        <w:widowControl/>
        <w:kinsoku/>
        <w:wordWrap/>
        <w:overflowPunct/>
        <w:topLinePunct w:val="0"/>
        <w:autoSpaceDE/>
        <w:autoSpaceDN/>
        <w:bidi w:val="0"/>
        <w:adjustRightInd/>
        <w:snapToGrid w:val="0"/>
        <w:spacing w:line="580" w:lineRule="exact"/>
        <w:ind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六）管理、指导或具体负责辖区内“船旗国”“港口国”和“沿岸国”管理、船舶安全检查、国际航行船舶进出口岸检查、接收国内航行船舶进出港报告、强制引航监督、船舶保安和防抗海盗、船舶载运危险货物及其他货物的安全监督、靠泊安全监督、防治船舶污染水域监督等工作。</w:t>
      </w:r>
    </w:p>
    <w:p>
      <w:pPr>
        <w:keepNext w:val="0"/>
        <w:keepLines w:val="0"/>
        <w:pageBreakBefore w:val="0"/>
        <w:widowControl/>
        <w:kinsoku/>
        <w:wordWrap/>
        <w:overflowPunct/>
        <w:topLinePunct w:val="0"/>
        <w:autoSpaceDE/>
        <w:autoSpaceDN/>
        <w:bidi w:val="0"/>
        <w:adjustRightInd/>
        <w:snapToGrid w:val="0"/>
        <w:spacing w:line="580" w:lineRule="exact"/>
        <w:ind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七）管理、指导或具体负责辖区内“沿岸国”管理、海区（或水域）巡逻、通航环境管理与通航秩序维护、水上水下施工作业审核及监督管理、锚地和重要水域划定、港区岸线使用审核、航行警（通）告发布等工作。</w:t>
      </w:r>
    </w:p>
    <w:p>
      <w:pPr>
        <w:keepNext w:val="0"/>
        <w:keepLines w:val="0"/>
        <w:pageBreakBefore w:val="0"/>
        <w:widowControl/>
        <w:kinsoku/>
        <w:wordWrap/>
        <w:overflowPunct/>
        <w:topLinePunct w:val="0"/>
        <w:autoSpaceDE/>
        <w:autoSpaceDN/>
        <w:bidi w:val="0"/>
        <w:adjustRightInd/>
        <w:snapToGrid w:val="0"/>
        <w:spacing w:line="580" w:lineRule="exact"/>
        <w:ind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（八）负责船舶油污损害赔偿基金等非税收入的征收管理工作。</w:t>
      </w:r>
    </w:p>
    <w:p>
      <w:pPr>
        <w:keepNext w:val="0"/>
        <w:keepLines w:val="0"/>
        <w:pageBreakBefore w:val="0"/>
        <w:widowControl/>
        <w:kinsoku/>
        <w:wordWrap/>
        <w:overflowPunct/>
        <w:topLinePunct w:val="0"/>
        <w:autoSpaceDE/>
        <w:autoSpaceDN/>
        <w:bidi w:val="0"/>
        <w:adjustRightInd/>
        <w:snapToGrid w:val="0"/>
        <w:spacing w:line="580" w:lineRule="exact"/>
        <w:ind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九）负责管理、指导本局机关和所属分支机构的海事业务、法制、规划计划、基本建设、财务会计、固定资产、规费征收、干部人事、劳动工资、技术装备、科技教育、政务信息、党群、审计、纪检监察、精神文明建设、宣传等工作。</w:t>
      </w:r>
    </w:p>
    <w:p>
      <w:pPr>
        <w:keepNext w:val="0"/>
        <w:keepLines w:val="0"/>
        <w:pageBreakBefore w:val="0"/>
        <w:widowControl/>
        <w:kinsoku/>
        <w:wordWrap/>
        <w:overflowPunct/>
        <w:topLinePunct w:val="0"/>
        <w:autoSpaceDE/>
        <w:autoSpaceDN/>
        <w:bidi w:val="0"/>
        <w:adjustRightInd/>
        <w:snapToGrid w:val="0"/>
        <w:spacing w:line="580" w:lineRule="exact"/>
        <w:ind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（十）承办交通运输部及交通运输部海事局交办的其他事项。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41" w:leftChars="0" w:right="-41" w:rightChars="-20"/>
        <w:textAlignment w:val="auto"/>
        <w:outlineLvl w:val="1"/>
        <w:rPr>
          <w:rFonts w:ascii="黑体" w:hAnsi="Calibri" w:eastAsia="黑体" w:cs="Times New Roman"/>
          <w:b w:val="0"/>
          <w:bCs/>
          <w:kern w:val="0"/>
          <w:sz w:val="32"/>
          <w:szCs w:val="32"/>
        </w:rPr>
      </w:pPr>
      <w:bookmarkStart w:id="26" w:name="_Toc93803468_WPSOffice_Level2"/>
      <w:r>
        <w:rPr>
          <w:rFonts w:hint="eastAsia" w:ascii="黑体" w:hAnsi="Calibri" w:eastAsia="黑体" w:cs="Times New Roman"/>
          <w:b w:val="0"/>
          <w:bCs/>
          <w:kern w:val="0"/>
          <w:sz w:val="32"/>
          <w:szCs w:val="32"/>
          <w:lang w:eastAsia="zh-CN"/>
        </w:rPr>
        <w:t>二、</w:t>
      </w:r>
      <w:r>
        <w:rPr>
          <w:rFonts w:hint="eastAsia" w:ascii="黑体" w:hAnsi="Calibri" w:eastAsia="黑体" w:cs="Times New Roman"/>
          <w:b w:val="0"/>
          <w:bCs/>
          <w:kern w:val="0"/>
          <w:sz w:val="32"/>
          <w:szCs w:val="32"/>
        </w:rPr>
        <w:t>机构设置</w:t>
      </w:r>
      <w:bookmarkEnd w:id="26"/>
    </w:p>
    <w:p>
      <w:pPr>
        <w:widowControl/>
        <w:snapToGrid w:val="0"/>
        <w:spacing w:line="580" w:lineRule="exact"/>
        <w:ind w:firstLine="632" w:firstLineChars="200"/>
        <w:rPr>
          <w:rFonts w:hint="default" w:ascii="仿宋_GB2312" w:hAnsi="Calibri" w:eastAsia="仿宋_GB2312" w:cs="Times New Roman"/>
          <w:kern w:val="0"/>
          <w:sz w:val="32"/>
          <w:szCs w:val="32"/>
          <w:lang w:val="en-US" w:eastAsia="zh-CN"/>
        </w:rPr>
      </w:pPr>
      <w:bookmarkStart w:id="27" w:name="_Toc424398403"/>
      <w:r>
        <w:rPr>
          <w:rFonts w:hint="eastAsia" w:ascii="仿宋_GB2312" w:hAnsi="Calibri" w:eastAsia="仿宋_GB2312" w:cs="Times New Roman"/>
          <w:b w:val="0"/>
          <w:bCs/>
          <w:kern w:val="0"/>
          <w:sz w:val="32"/>
          <w:szCs w:val="32"/>
          <w:lang w:val="en-US" w:eastAsia="zh-CN"/>
        </w:rPr>
        <w:t>2024年河北海事局本级决算编制范围</w:t>
      </w:r>
      <w:r>
        <w:rPr>
          <w:rFonts w:hint="eastAsia" w:ascii="仿宋_GB2312" w:hAnsi="Calibri" w:eastAsia="仿宋_GB2312" w:cs="Times New Roman"/>
          <w:kern w:val="0"/>
          <w:sz w:val="32"/>
          <w:szCs w:val="32"/>
          <w:lang w:val="en-US" w:eastAsia="zh-CN"/>
        </w:rPr>
        <w:t>包括内设机构18个：办公室、法规规范处、综合计划处、财务会计处、人事教育处、指挥中心、通航管理处、船舶监督处、船员管理处、危管防污处、安全管理处、基建装备处、科技信息处、审计处、党组工作部、宣传处、纪检办公室、直属机关党委办公室；处室办事机构3个：政务中心、船员考试中心、溢油应急反应中心</w:t>
      </w:r>
    </w:p>
    <w:p>
      <w:pPr>
        <w:adjustRightInd w:val="0"/>
        <w:snapToGrid w:val="0"/>
        <w:ind w:right="-41" w:rightChars="-20"/>
        <w:jc w:val="center"/>
        <w:rPr>
          <w:rFonts w:hint="eastAsia" w:ascii="黑体" w:hAnsi="Calibri" w:eastAsia="黑体" w:cs="Times New Roman"/>
          <w:b/>
          <w:kern w:val="0"/>
          <w:sz w:val="36"/>
          <w:szCs w:val="36"/>
          <w:lang w:val="en-US" w:eastAsia="zh-CN"/>
        </w:rPr>
      </w:pPr>
    </w:p>
    <w:p>
      <w:pPr>
        <w:adjustRightInd w:val="0"/>
        <w:snapToGrid w:val="0"/>
        <w:ind w:right="-41" w:rightChars="-20"/>
        <w:jc w:val="center"/>
        <w:rPr>
          <w:rFonts w:hint="eastAsia" w:ascii="黑体" w:hAnsi="Calibri" w:eastAsia="黑体" w:cs="Times New Roman"/>
          <w:b/>
          <w:kern w:val="0"/>
          <w:sz w:val="36"/>
          <w:szCs w:val="36"/>
          <w:lang w:val="en-US" w:eastAsia="zh-CN"/>
        </w:rPr>
      </w:pPr>
    </w:p>
    <w:p>
      <w:pPr>
        <w:adjustRightInd w:val="0"/>
        <w:snapToGrid w:val="0"/>
        <w:ind w:right="-41" w:rightChars="-20"/>
        <w:jc w:val="center"/>
        <w:rPr>
          <w:rFonts w:hint="eastAsia" w:ascii="黑体" w:hAnsi="Calibri" w:eastAsia="黑体" w:cs="Times New Roman"/>
          <w:b/>
          <w:kern w:val="0"/>
          <w:sz w:val="36"/>
          <w:szCs w:val="36"/>
          <w:lang w:val="en-US" w:eastAsia="zh-CN"/>
        </w:rPr>
      </w:pPr>
    </w:p>
    <w:p>
      <w:pPr>
        <w:adjustRightInd w:val="0"/>
        <w:snapToGrid w:val="0"/>
        <w:ind w:right="-41" w:rightChars="-20"/>
        <w:jc w:val="center"/>
        <w:rPr>
          <w:rFonts w:hint="eastAsia" w:ascii="黑体" w:hAnsi="Calibri" w:eastAsia="黑体" w:cs="Times New Roman"/>
          <w:b/>
          <w:kern w:val="0"/>
          <w:sz w:val="36"/>
          <w:szCs w:val="36"/>
          <w:lang w:val="en-US" w:eastAsia="zh-CN"/>
        </w:rPr>
      </w:pPr>
    </w:p>
    <w:p>
      <w:pPr>
        <w:pStyle w:val="2"/>
        <w:rPr>
          <w:rFonts w:hint="eastAsia" w:ascii="黑体" w:hAnsi="Calibri" w:eastAsia="黑体" w:cs="Times New Roman"/>
          <w:b/>
          <w:kern w:val="0"/>
          <w:sz w:val="36"/>
          <w:szCs w:val="36"/>
          <w:lang w:val="en-US" w:eastAsia="zh-CN"/>
        </w:rPr>
      </w:pPr>
    </w:p>
    <w:p>
      <w:pPr>
        <w:rPr>
          <w:rFonts w:hint="eastAsia" w:ascii="黑体" w:hAnsi="Calibri" w:eastAsia="黑体" w:cs="Times New Roman"/>
          <w:b/>
          <w:kern w:val="0"/>
          <w:sz w:val="36"/>
          <w:szCs w:val="36"/>
          <w:lang w:val="en-US" w:eastAsia="zh-CN"/>
        </w:rPr>
      </w:pPr>
    </w:p>
    <w:p>
      <w:pPr>
        <w:pStyle w:val="2"/>
        <w:rPr>
          <w:rFonts w:hint="eastAsia" w:ascii="黑体" w:hAnsi="Calibri" w:eastAsia="黑体" w:cs="Times New Roman"/>
          <w:b/>
          <w:kern w:val="0"/>
          <w:sz w:val="36"/>
          <w:szCs w:val="36"/>
          <w:lang w:val="en-US" w:eastAsia="zh-CN"/>
        </w:rPr>
      </w:pPr>
    </w:p>
    <w:p>
      <w:pPr>
        <w:rPr>
          <w:rFonts w:hint="eastAsia" w:ascii="黑体" w:hAnsi="Calibri" w:eastAsia="黑体" w:cs="Times New Roman"/>
          <w:b/>
          <w:kern w:val="0"/>
          <w:sz w:val="36"/>
          <w:szCs w:val="36"/>
          <w:lang w:val="en-US" w:eastAsia="zh-CN"/>
        </w:rPr>
      </w:pPr>
    </w:p>
    <w:p>
      <w:pPr>
        <w:pStyle w:val="2"/>
        <w:rPr>
          <w:rFonts w:hint="eastAsia" w:ascii="黑体" w:hAnsi="Calibri" w:eastAsia="黑体" w:cs="Times New Roman"/>
          <w:b/>
          <w:kern w:val="0"/>
          <w:sz w:val="36"/>
          <w:szCs w:val="36"/>
          <w:lang w:val="en-US" w:eastAsia="zh-CN"/>
        </w:rPr>
      </w:pPr>
    </w:p>
    <w:p>
      <w:pPr>
        <w:rPr>
          <w:rFonts w:hint="eastAsia" w:ascii="黑体" w:hAnsi="Calibri" w:eastAsia="黑体" w:cs="Times New Roman"/>
          <w:b/>
          <w:kern w:val="0"/>
          <w:sz w:val="36"/>
          <w:szCs w:val="36"/>
          <w:lang w:val="en-US" w:eastAsia="zh-CN"/>
        </w:rPr>
      </w:pPr>
    </w:p>
    <w:p>
      <w:pPr>
        <w:pStyle w:val="2"/>
        <w:rPr>
          <w:rFonts w:hint="eastAsia" w:ascii="黑体" w:hAnsi="Calibri" w:eastAsia="黑体" w:cs="Times New Roman"/>
          <w:b/>
          <w:kern w:val="0"/>
          <w:sz w:val="36"/>
          <w:szCs w:val="36"/>
          <w:lang w:val="en-US" w:eastAsia="zh-CN"/>
        </w:rPr>
      </w:pPr>
    </w:p>
    <w:p>
      <w:pPr>
        <w:rPr>
          <w:rFonts w:hint="eastAsia"/>
          <w:lang w:val="en-US" w:eastAsia="zh-CN"/>
        </w:rPr>
      </w:pPr>
    </w:p>
    <w:p>
      <w:pPr>
        <w:adjustRightInd w:val="0"/>
        <w:snapToGrid w:val="0"/>
        <w:ind w:right="-41" w:rightChars="-20"/>
        <w:jc w:val="center"/>
        <w:rPr>
          <w:rFonts w:hint="eastAsia" w:ascii="黑体" w:hAnsi="Calibri" w:eastAsia="黑体" w:cs="Times New Roman"/>
          <w:b/>
          <w:kern w:val="0"/>
          <w:sz w:val="36"/>
          <w:szCs w:val="36"/>
          <w:lang w:val="en-US" w:eastAsia="zh-CN"/>
        </w:rPr>
      </w:pPr>
    </w:p>
    <w:p>
      <w:pPr>
        <w:adjustRightInd w:val="0"/>
        <w:snapToGrid w:val="0"/>
        <w:ind w:right="-41" w:rightChars="-20"/>
        <w:jc w:val="center"/>
        <w:rPr>
          <w:rFonts w:hint="eastAsia" w:ascii="黑体" w:hAnsi="Calibri" w:eastAsia="黑体" w:cs="Times New Roman"/>
          <w:b/>
          <w:kern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ind w:right="-41" w:rightChars="-20"/>
        <w:jc w:val="center"/>
        <w:textAlignment w:val="auto"/>
        <w:outlineLvl w:val="0"/>
        <w:rPr>
          <w:rFonts w:ascii="黑体" w:hAnsi="Calibri" w:eastAsia="黑体" w:cs="Times New Roman"/>
          <w:b/>
          <w:kern w:val="0"/>
          <w:sz w:val="36"/>
          <w:szCs w:val="36"/>
        </w:rPr>
      </w:pPr>
      <w:bookmarkStart w:id="28" w:name="_Toc643829034_WPSOffice_Level1"/>
      <w:r>
        <w:rPr>
          <w:rFonts w:hint="eastAsia" w:ascii="黑体" w:hAnsi="Calibri" w:eastAsia="黑体" w:cs="Times New Roman"/>
          <w:b/>
          <w:kern w:val="0"/>
          <w:sz w:val="36"/>
          <w:szCs w:val="36"/>
        </w:rPr>
        <w:t>第二部分 河北海事局202</w:t>
      </w:r>
      <w:r>
        <w:rPr>
          <w:rFonts w:hint="eastAsia" w:ascii="黑体" w:hAnsi="Calibri" w:eastAsia="黑体" w:cs="Times New Roman"/>
          <w:b/>
          <w:kern w:val="0"/>
          <w:sz w:val="36"/>
          <w:szCs w:val="36"/>
          <w:lang w:val="en-US" w:eastAsia="zh-CN"/>
        </w:rPr>
        <w:t>4</w:t>
      </w:r>
      <w:r>
        <w:rPr>
          <w:rFonts w:hint="eastAsia" w:ascii="黑体" w:hAnsi="Calibri" w:eastAsia="黑体" w:cs="Times New Roman"/>
          <w:b/>
          <w:kern w:val="0"/>
          <w:sz w:val="36"/>
          <w:szCs w:val="36"/>
        </w:rPr>
        <w:t>年度部门决算表</w:t>
      </w:r>
      <w:bookmarkEnd w:id="27"/>
      <w:bookmarkEnd w:id="28"/>
    </w:p>
    <w:p>
      <w:pPr>
        <w:adjustRightInd w:val="0"/>
        <w:snapToGrid w:val="0"/>
        <w:ind w:right="-41" w:rightChars="-20"/>
        <w:rPr>
          <w:rFonts w:ascii="仿宋_GB2312" w:hAnsi="Calibri" w:eastAsia="仿宋_GB2312" w:cs="Times New Roman"/>
          <w:b/>
          <w:kern w:val="0"/>
          <w:sz w:val="36"/>
          <w:szCs w:val="36"/>
        </w:rPr>
      </w:pPr>
    </w:p>
    <w:p>
      <w:pPr>
        <w:keepNext w:val="0"/>
        <w:keepLines w:val="0"/>
        <w:pageBreakBefore w:val="0"/>
        <w:widowControl/>
        <w:kinsoku/>
        <w:wordWrap/>
        <w:overflowPunct/>
        <w:topLinePunct w:val="0"/>
        <w:autoSpaceDE/>
        <w:autoSpaceDN/>
        <w:bidi w:val="0"/>
        <w:adjustRightInd/>
        <w:snapToGrid w:val="0"/>
        <w:spacing w:before="289" w:beforeLines="50" w:after="289" w:afterLines="50"/>
        <w:jc w:val="center"/>
        <w:textAlignment w:val="auto"/>
        <w:outlineLvl w:val="1"/>
        <w:rPr>
          <w:rFonts w:ascii="黑体" w:hAnsi="黑体" w:eastAsia="黑体" w:cs="宋体"/>
          <w:b w:val="0"/>
          <w:bCs/>
          <w:color w:val="000000"/>
          <w:kern w:val="0"/>
          <w:sz w:val="32"/>
          <w:szCs w:val="32"/>
        </w:rPr>
      </w:pPr>
      <w:bookmarkStart w:id="29" w:name="_Toc699144020_WPSOffice_Level2"/>
      <w:bookmarkStart w:id="30" w:name="_Toc424398404"/>
      <w:r>
        <w:rPr>
          <w:rFonts w:hint="eastAsia" w:ascii="黑体" w:hAnsi="宋体" w:eastAsia="黑体" w:cs="宋体"/>
          <w:b w:val="0"/>
          <w:bCs/>
          <w:color w:val="000000"/>
          <w:kern w:val="0"/>
          <w:sz w:val="32"/>
          <w:szCs w:val="32"/>
        </w:rPr>
        <w:t>一、收入支出决算总表</w:t>
      </w:r>
      <w:bookmarkEnd w:id="29"/>
      <w:bookmarkEnd w:id="30"/>
    </w:p>
    <w:p>
      <w:pPr>
        <w:wordWrap w:val="0"/>
        <w:snapToGrid w:val="0"/>
        <w:spacing w:line="300" w:lineRule="exact"/>
        <w:jc w:val="right"/>
        <w:rPr>
          <w:rFonts w:ascii="宋体" w:hAnsi="宋体" w:eastAsia="仿宋_GB2312" w:cs="Times New Roman"/>
          <w:kern w:val="0"/>
          <w:sz w:val="18"/>
        </w:rPr>
      </w:pPr>
      <w:r>
        <w:rPr>
          <w:rFonts w:hint="eastAsia" w:ascii="宋体" w:hAnsi="宋体" w:eastAsia="仿宋_GB2312" w:cs="Times New Roman"/>
          <w:kern w:val="0"/>
          <w:sz w:val="18"/>
        </w:rPr>
        <w:t xml:space="preserve"> 公开01表</w:t>
      </w:r>
    </w:p>
    <w:p>
      <w:pPr>
        <w:wordWrap w:val="0"/>
        <w:snapToGrid w:val="0"/>
        <w:spacing w:line="300" w:lineRule="exact"/>
        <w:jc w:val="right"/>
        <w:rPr>
          <w:rFonts w:ascii="宋体" w:hAnsi="宋体" w:eastAsia="仿宋_GB2312" w:cs="Times New Roman"/>
          <w:kern w:val="0"/>
          <w:sz w:val="22"/>
        </w:rPr>
      </w:pPr>
      <w:r>
        <w:rPr>
          <w:rFonts w:hint="eastAsia" w:ascii="宋体" w:hAnsi="宋体" w:eastAsia="仿宋_GB2312" w:cs="Times New Roman"/>
          <w:kern w:val="0"/>
          <w:sz w:val="18"/>
        </w:rPr>
        <w:t>金额单位：万元</w:t>
      </w:r>
    </w:p>
    <w:tbl>
      <w:tblPr>
        <w:tblStyle w:val="12"/>
        <w:tblW w:w="9525"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204"/>
        <w:gridCol w:w="656"/>
        <w:gridCol w:w="1294"/>
        <w:gridCol w:w="2421"/>
        <w:gridCol w:w="656"/>
        <w:gridCol w:w="12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5154" w:type="dxa"/>
            <w:gridSpan w:val="3"/>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收入</w:t>
            </w:r>
          </w:p>
        </w:tc>
        <w:tc>
          <w:tcPr>
            <w:tcW w:w="4371" w:type="dxa"/>
            <w:gridSpan w:val="3"/>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项目</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行次</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金额</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项目</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行次</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栏次</w:t>
            </w:r>
          </w:p>
        </w:tc>
        <w:tc>
          <w:tcPr>
            <w:tcW w:w="656"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仿宋_GB2312" w:cs="Arial"/>
                <w:b/>
                <w:bCs/>
                <w:color w:val="000000"/>
                <w:kern w:val="0"/>
                <w:sz w:val="20"/>
                <w:szCs w:val="20"/>
              </w:rPr>
            </w:pP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1</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栏次</w:t>
            </w:r>
          </w:p>
        </w:tc>
        <w:tc>
          <w:tcPr>
            <w:tcW w:w="656"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仿宋_GB2312" w:cs="Arial"/>
                <w:b/>
                <w:bCs/>
                <w:color w:val="000000"/>
                <w:kern w:val="0"/>
                <w:sz w:val="20"/>
                <w:szCs w:val="20"/>
              </w:rPr>
            </w:pP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仿宋_GB2312" w:hAnsi="宋体" w:eastAsia="仿宋_GB2312" w:cs="仿宋_GB2312"/>
                <w:color w:val="000000"/>
                <w:kern w:val="0"/>
                <w:sz w:val="20"/>
                <w:szCs w:val="20"/>
              </w:rPr>
              <w:t>一、一般公共预算财政拨款收入</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15,763.41</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r>
              <w:rPr>
                <w:rFonts w:hint="eastAsia" w:ascii="仿宋_GB2312" w:hAnsi="宋体" w:eastAsia="仿宋_GB2312" w:cs="仿宋_GB2312"/>
                <w:color w:val="000000"/>
                <w:kern w:val="0"/>
                <w:sz w:val="16"/>
                <w:szCs w:val="16"/>
              </w:rPr>
              <w:t>一、社会保障和就业支出</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12</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753.50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仿宋_GB2312" w:hAnsi="宋体" w:eastAsia="仿宋_GB2312" w:cs="仿宋_GB2312"/>
                <w:color w:val="000000"/>
                <w:kern w:val="0"/>
                <w:sz w:val="20"/>
                <w:szCs w:val="20"/>
              </w:rPr>
              <w:t>二、政府性基金预算财政拨款收入</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2</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right"/>
              <w:textAlignment w:val="center"/>
              <w:rPr>
                <w:rFonts w:hint="eastAsia" w:asciiTheme="minorEastAsia" w:hAnsiTheme="minorEastAsia" w:eastAsiaTheme="minorEastAsia" w:cstheme="minorEastAsia"/>
                <w:color w:val="000000"/>
                <w:kern w:val="0"/>
                <w:sz w:val="22"/>
                <w:szCs w:val="22"/>
              </w:rPr>
            </w:pP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r>
              <w:rPr>
                <w:rFonts w:hint="eastAsia" w:ascii="仿宋_GB2312" w:hAnsi="宋体" w:eastAsia="仿宋_GB2312" w:cs="仿宋_GB2312"/>
                <w:color w:val="000000"/>
                <w:kern w:val="0"/>
                <w:sz w:val="16"/>
                <w:szCs w:val="16"/>
              </w:rPr>
              <w:t>二、卫生健康支出</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13</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sz w:val="22"/>
                <w:szCs w:val="22"/>
              </w:rPr>
              <w:t>296.95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仿宋_GB2312" w:hAnsi="宋体" w:eastAsia="仿宋_GB2312" w:cs="仿宋_GB2312"/>
                <w:color w:val="000000"/>
                <w:kern w:val="0"/>
                <w:sz w:val="20"/>
                <w:szCs w:val="20"/>
              </w:rPr>
              <w:t>三、</w:t>
            </w:r>
            <w:r>
              <w:rPr>
                <w:rFonts w:ascii="仿宋_GB2312" w:hAnsi="宋体" w:eastAsia="仿宋_GB2312" w:cs="仿宋_GB2312"/>
                <w:color w:val="000000"/>
                <w:kern w:val="0"/>
                <w:sz w:val="20"/>
                <w:szCs w:val="20"/>
              </w:rPr>
              <w:t>事业收入</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3</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right"/>
              <w:textAlignment w:val="center"/>
              <w:rPr>
                <w:rFonts w:hint="eastAsia" w:asciiTheme="minorEastAsia" w:hAnsiTheme="minorEastAsia" w:eastAsiaTheme="minorEastAsia" w:cstheme="minorEastAsia"/>
                <w:color w:val="000000"/>
                <w:kern w:val="0"/>
                <w:sz w:val="22"/>
                <w:szCs w:val="22"/>
              </w:rPr>
            </w:pP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r>
              <w:rPr>
                <w:rFonts w:hint="eastAsia" w:ascii="仿宋_GB2312" w:hAnsi="宋体" w:eastAsia="仿宋_GB2312" w:cs="仿宋_GB2312"/>
                <w:color w:val="000000"/>
                <w:kern w:val="0"/>
                <w:sz w:val="16"/>
                <w:szCs w:val="16"/>
              </w:rPr>
              <w:t>三、交通运输支出</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14</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17</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438.65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仿宋_GB2312" w:hAnsi="宋体" w:eastAsia="仿宋_GB2312" w:cs="仿宋_GB2312"/>
                <w:color w:val="000000"/>
                <w:kern w:val="0"/>
                <w:sz w:val="20"/>
                <w:szCs w:val="20"/>
              </w:rPr>
              <w:t>四</w:t>
            </w:r>
            <w:r>
              <w:rPr>
                <w:rFonts w:ascii="仿宋_GB2312" w:hAnsi="宋体" w:eastAsia="仿宋_GB2312" w:cs="仿宋_GB2312"/>
                <w:color w:val="000000"/>
                <w:kern w:val="0"/>
                <w:sz w:val="20"/>
                <w:szCs w:val="20"/>
              </w:rPr>
              <w:t>、</w:t>
            </w:r>
            <w:r>
              <w:rPr>
                <w:rFonts w:hint="eastAsia" w:ascii="仿宋_GB2312" w:hAnsi="宋体" w:eastAsia="仿宋_GB2312" w:cs="仿宋_GB2312"/>
                <w:color w:val="000000"/>
                <w:kern w:val="0"/>
                <w:sz w:val="20"/>
                <w:szCs w:val="20"/>
              </w:rPr>
              <w:t>经营收入</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4</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right"/>
              <w:textAlignment w:val="center"/>
              <w:rPr>
                <w:rFonts w:hint="eastAsia" w:asciiTheme="minorEastAsia" w:hAnsiTheme="minorEastAsia" w:eastAsiaTheme="minorEastAsia" w:cstheme="minorEastAsia"/>
                <w:color w:val="000000"/>
                <w:kern w:val="0"/>
                <w:sz w:val="22"/>
                <w:szCs w:val="22"/>
              </w:rPr>
            </w:pP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r>
              <w:rPr>
                <w:rFonts w:hint="eastAsia" w:ascii="仿宋_GB2312" w:hAnsi="宋体" w:eastAsia="仿宋_GB2312" w:cs="仿宋_GB2312"/>
                <w:color w:val="000000"/>
                <w:kern w:val="0"/>
                <w:sz w:val="16"/>
                <w:szCs w:val="16"/>
              </w:rPr>
              <w:t>四、住房保障支出</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15</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300</w:t>
            </w:r>
            <w:r>
              <w:rPr>
                <w:rFonts w:hint="eastAsia" w:asciiTheme="minorEastAsia" w:hAnsiTheme="minorEastAsia" w:cstheme="minorEastAsia"/>
                <w:i w:val="0"/>
                <w:iCs w:val="0"/>
                <w:color w:val="000000"/>
                <w:kern w:val="0"/>
                <w:sz w:val="22"/>
                <w:szCs w:val="22"/>
                <w:u w:val="none"/>
                <w:lang w:val="en-US" w:eastAsia="zh-CN" w:bidi="ar"/>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宋体" w:hAnsi="宋体" w:eastAsia="仿宋_GB2312" w:cs="Arial"/>
                <w:color w:val="000000"/>
                <w:kern w:val="0"/>
                <w:sz w:val="20"/>
                <w:szCs w:val="20"/>
              </w:rPr>
              <w:t>五</w:t>
            </w:r>
            <w:r>
              <w:rPr>
                <w:rFonts w:hint="eastAsia" w:ascii="宋体" w:hAnsi="宋体" w:eastAsia="仿宋_GB2312" w:cs="Arial"/>
                <w:color w:val="000000"/>
                <w:kern w:val="0"/>
                <w:sz w:val="20"/>
                <w:szCs w:val="20"/>
                <w:lang w:eastAsia="zh-CN"/>
              </w:rPr>
              <w:t>、</w:t>
            </w:r>
            <w:r>
              <w:rPr>
                <w:rFonts w:hint="eastAsia" w:ascii="宋体" w:hAnsi="宋体" w:eastAsia="仿宋_GB2312" w:cs="Arial"/>
                <w:color w:val="000000"/>
                <w:kern w:val="0"/>
                <w:sz w:val="20"/>
                <w:szCs w:val="20"/>
              </w:rPr>
              <w:t>其他收入</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5</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right"/>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r>
              <w:rPr>
                <w:rFonts w:hint="eastAsia" w:asciiTheme="minorEastAsia" w:hAnsiTheme="minorEastAsia" w:cstheme="minorEastAsia"/>
                <w:color w:val="000000"/>
                <w:kern w:val="0"/>
                <w:sz w:val="22"/>
                <w:szCs w:val="22"/>
                <w:lang w:val="en-US" w:eastAsia="zh-CN"/>
              </w:rPr>
              <w:t>,</w:t>
            </w:r>
            <w:r>
              <w:rPr>
                <w:rFonts w:hint="eastAsia" w:asciiTheme="minorEastAsia" w:hAnsiTheme="minorEastAsia" w:eastAsiaTheme="minorEastAsia" w:cstheme="minorEastAsia"/>
                <w:color w:val="000000"/>
                <w:kern w:val="0"/>
                <w:sz w:val="22"/>
                <w:szCs w:val="22"/>
              </w:rPr>
              <w:t>721.42</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16</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right"/>
              <w:textAlignment w:val="center"/>
              <w:rPr>
                <w:rFonts w:hint="eastAsia" w:asciiTheme="minorEastAsia" w:hAnsiTheme="minorEastAsia" w:eastAsiaTheme="minorEastAsia" w:cstheme="minorEastAsia"/>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left"/>
              <w:rPr>
                <w:rFonts w:ascii="宋体" w:hAnsi="宋体" w:eastAsia="仿宋_GB2312" w:cs="Arial"/>
                <w:color w:val="000000"/>
                <w:kern w:val="0"/>
                <w:sz w:val="20"/>
                <w:szCs w:val="20"/>
              </w:rPr>
            </w:pP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6</w:t>
            </w:r>
          </w:p>
        </w:tc>
        <w:tc>
          <w:tcPr>
            <w:tcW w:w="1294"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right"/>
              <w:rPr>
                <w:rFonts w:hint="eastAsia" w:asciiTheme="minorEastAsia" w:hAnsiTheme="minorEastAsia" w:eastAsiaTheme="minorEastAsia" w:cstheme="minorEastAsia"/>
                <w:color w:val="000000"/>
                <w:kern w:val="0"/>
                <w:sz w:val="22"/>
                <w:szCs w:val="22"/>
              </w:rPr>
            </w:pPr>
          </w:p>
        </w:tc>
        <w:tc>
          <w:tcPr>
            <w:tcW w:w="2421"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left"/>
              <w:rPr>
                <w:rFonts w:ascii="宋体" w:hAnsi="宋体" w:eastAsia="仿宋_GB2312" w:cs="Arial"/>
                <w:color w:val="000000"/>
                <w:kern w:val="0"/>
                <w:sz w:val="16"/>
                <w:szCs w:val="18"/>
              </w:rPr>
            </w:pP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17</w:t>
            </w:r>
          </w:p>
        </w:tc>
        <w:tc>
          <w:tcPr>
            <w:tcW w:w="1294"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right"/>
              <w:rPr>
                <w:rFonts w:hint="eastAsia" w:asciiTheme="minorEastAsia" w:hAnsiTheme="minorEastAsia" w:eastAsiaTheme="minorEastAsia" w:cstheme="minorEastAsia"/>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本年收入合计</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b/>
                <w:bCs/>
                <w:color w:val="000000"/>
                <w:kern w:val="0"/>
                <w:sz w:val="20"/>
                <w:szCs w:val="20"/>
              </w:rPr>
            </w:pPr>
            <w:r>
              <w:rPr>
                <w:rFonts w:hint="eastAsia" w:ascii="宋体" w:hAnsi="宋体" w:eastAsia="宋体" w:cs="宋体"/>
                <w:b/>
                <w:bCs/>
                <w:color w:val="000000"/>
                <w:kern w:val="0"/>
                <w:sz w:val="20"/>
                <w:szCs w:val="20"/>
              </w:rPr>
              <w:t>7</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kern w:val="2"/>
                <w:sz w:val="22"/>
                <w:szCs w:val="22"/>
                <w:u w:val="none"/>
                <w:lang w:val="en-US" w:eastAsia="zh-CN" w:bidi="ar-SA"/>
              </w:rPr>
            </w:pPr>
            <w:r>
              <w:rPr>
                <w:rFonts w:hint="eastAsia" w:asciiTheme="minorEastAsia" w:hAnsiTheme="minorEastAsia" w:eastAsiaTheme="minorEastAsia" w:cstheme="minorEastAsia"/>
                <w:b/>
                <w:bCs/>
                <w:i w:val="0"/>
                <w:iCs w:val="0"/>
                <w:color w:val="000000"/>
                <w:kern w:val="0"/>
                <w:sz w:val="22"/>
                <w:szCs w:val="22"/>
                <w:u w:val="none"/>
                <w:lang w:val="en-US" w:eastAsia="zh-CN" w:bidi="ar"/>
              </w:rPr>
              <w:t>17</w:t>
            </w:r>
            <w:r>
              <w:rPr>
                <w:rFonts w:hint="eastAsia" w:asciiTheme="minorEastAsia" w:hAnsiTheme="minorEastAsia" w:cstheme="minorEastAsia"/>
                <w:b/>
                <w:bCs/>
                <w:i w:val="0"/>
                <w:iCs w:val="0"/>
                <w:color w:val="000000"/>
                <w:kern w:val="0"/>
                <w:sz w:val="22"/>
                <w:szCs w:val="22"/>
                <w:u w:val="none"/>
                <w:lang w:val="en-US" w:eastAsia="zh-CN" w:bidi="ar"/>
              </w:rPr>
              <w:t>,</w:t>
            </w:r>
            <w:r>
              <w:rPr>
                <w:rFonts w:hint="eastAsia" w:asciiTheme="minorEastAsia" w:hAnsiTheme="minorEastAsia" w:eastAsiaTheme="minorEastAsia" w:cstheme="minorEastAsia"/>
                <w:b/>
                <w:bCs/>
                <w:i w:val="0"/>
                <w:iCs w:val="0"/>
                <w:color w:val="000000"/>
                <w:kern w:val="0"/>
                <w:sz w:val="22"/>
                <w:szCs w:val="22"/>
                <w:u w:val="none"/>
                <w:lang w:val="en-US" w:eastAsia="zh-CN" w:bidi="ar"/>
              </w:rPr>
              <w:t>484.83</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16"/>
                <w:szCs w:val="18"/>
              </w:rPr>
            </w:pPr>
            <w:r>
              <w:rPr>
                <w:rFonts w:hint="eastAsia" w:ascii="仿宋_GB2312" w:hAnsi="宋体" w:eastAsia="仿宋_GB2312" w:cs="仿宋_GB2312"/>
                <w:b/>
                <w:bCs/>
                <w:color w:val="000000"/>
                <w:kern w:val="0"/>
                <w:sz w:val="20"/>
                <w:szCs w:val="20"/>
              </w:rPr>
              <w:t>本年支出合计</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b/>
                <w:bCs/>
                <w:color w:val="000000"/>
                <w:kern w:val="0"/>
                <w:sz w:val="20"/>
                <w:szCs w:val="20"/>
              </w:rPr>
            </w:pPr>
            <w:r>
              <w:rPr>
                <w:rFonts w:hint="eastAsia" w:ascii="宋体" w:hAnsi="宋体" w:eastAsia="宋体" w:cs="宋体"/>
                <w:b/>
                <w:bCs/>
                <w:color w:val="000000"/>
                <w:kern w:val="0"/>
                <w:sz w:val="20"/>
                <w:szCs w:val="20"/>
              </w:rPr>
              <w:t>18</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kern w:val="2"/>
                <w:sz w:val="22"/>
                <w:szCs w:val="22"/>
                <w:u w:val="none"/>
                <w:lang w:val="en-US" w:eastAsia="zh-CN" w:bidi="ar-SA"/>
              </w:rPr>
            </w:pPr>
            <w:r>
              <w:rPr>
                <w:rFonts w:hint="eastAsia" w:asciiTheme="minorEastAsia" w:hAnsiTheme="minorEastAsia" w:eastAsiaTheme="minorEastAsia" w:cstheme="minorEastAsia"/>
                <w:b/>
                <w:bCs/>
                <w:i w:val="0"/>
                <w:iCs w:val="0"/>
                <w:color w:val="000000"/>
                <w:kern w:val="0"/>
                <w:sz w:val="22"/>
                <w:szCs w:val="22"/>
                <w:u w:val="none"/>
                <w:lang w:val="en-US" w:eastAsia="zh-CN" w:bidi="ar"/>
              </w:rPr>
              <w:t>18</w:t>
            </w:r>
            <w:r>
              <w:rPr>
                <w:rFonts w:hint="eastAsia" w:asciiTheme="minorEastAsia" w:hAnsiTheme="minorEastAsia" w:cstheme="minorEastAsia"/>
                <w:b/>
                <w:bCs/>
                <w:i w:val="0"/>
                <w:iCs w:val="0"/>
                <w:color w:val="000000"/>
                <w:kern w:val="0"/>
                <w:sz w:val="22"/>
                <w:szCs w:val="22"/>
                <w:u w:val="none"/>
                <w:lang w:val="en-US" w:eastAsia="zh-CN" w:bidi="ar"/>
              </w:rPr>
              <w:t>,</w:t>
            </w:r>
            <w:r>
              <w:rPr>
                <w:rFonts w:hint="eastAsia" w:asciiTheme="minorEastAsia" w:hAnsiTheme="minorEastAsia" w:eastAsiaTheme="minorEastAsia" w:cstheme="minorEastAsia"/>
                <w:b/>
                <w:bCs/>
                <w:i w:val="0"/>
                <w:iCs w:val="0"/>
                <w:color w:val="000000"/>
                <w:kern w:val="0"/>
                <w:sz w:val="22"/>
                <w:szCs w:val="22"/>
                <w:u w:val="none"/>
                <w:lang w:val="en-US" w:eastAsia="zh-CN" w:bidi="ar"/>
              </w:rPr>
              <w:t>789.1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仿宋_GB2312" w:hAnsi="宋体" w:eastAsia="仿宋_GB2312" w:cs="仿宋_GB2312"/>
                <w:color w:val="000000"/>
                <w:kern w:val="0"/>
                <w:sz w:val="20"/>
                <w:szCs w:val="20"/>
              </w:rPr>
              <w:t>使用非财政拨款结余</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8</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0.00</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r>
              <w:rPr>
                <w:rFonts w:hint="eastAsia" w:ascii="仿宋_GB2312" w:hAnsi="宋体" w:eastAsia="仿宋_GB2312" w:cs="仿宋_GB2312"/>
                <w:color w:val="000000"/>
                <w:kern w:val="0"/>
                <w:sz w:val="16"/>
                <w:szCs w:val="16"/>
              </w:rPr>
              <w:t>结余分配</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19</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仿宋_GB2312" w:hAnsi="宋体" w:eastAsia="仿宋_GB2312" w:cs="仿宋_GB2312"/>
                <w:color w:val="000000"/>
                <w:kern w:val="0"/>
                <w:sz w:val="20"/>
                <w:szCs w:val="20"/>
              </w:rPr>
              <w:t>年初结转和结余</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9</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3</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523.18</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r>
              <w:rPr>
                <w:rFonts w:hint="eastAsia" w:ascii="仿宋_GB2312" w:hAnsi="宋体" w:eastAsia="仿宋_GB2312" w:cs="仿宋_GB2312"/>
                <w:color w:val="000000"/>
                <w:kern w:val="0"/>
                <w:sz w:val="16"/>
                <w:szCs w:val="16"/>
              </w:rPr>
              <w:t>年末结转和结余</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20</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2"/>
                <w:sz w:val="22"/>
                <w:szCs w:val="22"/>
                <w:u w:val="none"/>
                <w:lang w:val="en-US" w:eastAsia="zh-CN" w:bidi="ar-SA"/>
              </w:rPr>
              <w:t>2</w:t>
            </w:r>
            <w:r>
              <w:rPr>
                <w:rFonts w:hint="eastAsia" w:asciiTheme="minorEastAsia" w:hAnsiTheme="minorEastAsia" w:cstheme="minorEastAsia"/>
                <w:i w:val="0"/>
                <w:iCs w:val="0"/>
                <w:color w:val="000000"/>
                <w:kern w:val="2"/>
                <w:sz w:val="22"/>
                <w:szCs w:val="22"/>
                <w:u w:val="none"/>
                <w:lang w:val="en-US" w:eastAsia="zh-CN" w:bidi="ar-SA"/>
              </w:rPr>
              <w:t>,</w:t>
            </w:r>
            <w:r>
              <w:rPr>
                <w:rFonts w:hint="eastAsia" w:asciiTheme="minorEastAsia" w:hAnsiTheme="minorEastAsia" w:eastAsiaTheme="minorEastAsia" w:cstheme="minorEastAsia"/>
                <w:i w:val="0"/>
                <w:iCs w:val="0"/>
                <w:color w:val="000000"/>
                <w:kern w:val="2"/>
                <w:sz w:val="22"/>
                <w:szCs w:val="22"/>
                <w:u w:val="none"/>
                <w:lang w:val="en-US" w:eastAsia="zh-CN" w:bidi="ar-SA"/>
              </w:rPr>
              <w:t>218.91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left"/>
              <w:rPr>
                <w:rFonts w:ascii="宋体" w:hAnsi="宋体" w:eastAsia="仿宋_GB2312" w:cs="Arial"/>
                <w:color w:val="000000"/>
                <w:kern w:val="0"/>
                <w:sz w:val="20"/>
                <w:szCs w:val="20"/>
              </w:rPr>
            </w:pP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10</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right"/>
              <w:textAlignment w:val="center"/>
              <w:rPr>
                <w:rFonts w:hint="eastAsia" w:asciiTheme="minorEastAsia" w:hAnsiTheme="minorEastAsia" w:eastAsiaTheme="minorEastAsia" w:cstheme="minorEastAsia"/>
                <w:color w:val="000000"/>
                <w:kern w:val="0"/>
                <w:sz w:val="22"/>
                <w:szCs w:val="22"/>
              </w:rPr>
            </w:pPr>
          </w:p>
        </w:tc>
        <w:tc>
          <w:tcPr>
            <w:tcW w:w="2421"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left"/>
              <w:rPr>
                <w:rFonts w:ascii="宋体" w:hAnsi="宋体" w:eastAsia="仿宋_GB2312" w:cs="Arial"/>
                <w:color w:val="000000"/>
                <w:kern w:val="0"/>
                <w:sz w:val="16"/>
                <w:szCs w:val="18"/>
              </w:rPr>
            </w:pP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21</w:t>
            </w:r>
          </w:p>
        </w:tc>
        <w:tc>
          <w:tcPr>
            <w:tcW w:w="1294"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right"/>
              <w:rPr>
                <w:rFonts w:hint="eastAsia" w:asciiTheme="minorEastAsia" w:hAnsiTheme="minorEastAsia" w:eastAsiaTheme="minorEastAsia" w:cstheme="minorEastAsia"/>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总计</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b/>
                <w:bCs/>
                <w:color w:val="000000"/>
                <w:kern w:val="0"/>
                <w:sz w:val="20"/>
                <w:szCs w:val="20"/>
              </w:rPr>
            </w:pPr>
            <w:r>
              <w:rPr>
                <w:rFonts w:hint="eastAsia" w:ascii="宋体" w:hAnsi="宋体" w:eastAsia="宋体" w:cs="宋体"/>
                <w:b/>
                <w:bCs/>
                <w:color w:val="000000"/>
                <w:kern w:val="0"/>
                <w:sz w:val="20"/>
                <w:szCs w:val="20"/>
              </w:rPr>
              <w:t>11</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kern w:val="2"/>
                <w:sz w:val="22"/>
                <w:szCs w:val="22"/>
                <w:u w:val="none"/>
                <w:lang w:val="en-US" w:eastAsia="zh-CN" w:bidi="ar-SA"/>
              </w:rPr>
            </w:pPr>
            <w:r>
              <w:rPr>
                <w:rFonts w:hint="eastAsia" w:asciiTheme="minorEastAsia" w:hAnsiTheme="minorEastAsia" w:eastAsiaTheme="minorEastAsia" w:cstheme="minorEastAsia"/>
                <w:b/>
                <w:bCs/>
                <w:i w:val="0"/>
                <w:iCs w:val="0"/>
                <w:color w:val="000000"/>
                <w:kern w:val="0"/>
                <w:sz w:val="22"/>
                <w:szCs w:val="22"/>
                <w:u w:val="none"/>
                <w:lang w:val="en-US" w:eastAsia="zh-CN" w:bidi="ar"/>
              </w:rPr>
              <w:t>21</w:t>
            </w:r>
            <w:r>
              <w:rPr>
                <w:rFonts w:hint="eastAsia" w:asciiTheme="minorEastAsia" w:hAnsiTheme="minorEastAsia" w:cstheme="minorEastAsia"/>
                <w:b/>
                <w:bCs/>
                <w:i w:val="0"/>
                <w:iCs w:val="0"/>
                <w:color w:val="000000"/>
                <w:kern w:val="0"/>
                <w:sz w:val="22"/>
                <w:szCs w:val="22"/>
                <w:u w:val="none"/>
                <w:lang w:val="en-US" w:eastAsia="zh-CN" w:bidi="ar"/>
              </w:rPr>
              <w:t>,</w:t>
            </w:r>
            <w:r>
              <w:rPr>
                <w:rFonts w:hint="eastAsia" w:asciiTheme="minorEastAsia" w:hAnsiTheme="minorEastAsia" w:eastAsiaTheme="minorEastAsia" w:cstheme="minorEastAsia"/>
                <w:b/>
                <w:bCs/>
                <w:i w:val="0"/>
                <w:iCs w:val="0"/>
                <w:color w:val="000000"/>
                <w:kern w:val="0"/>
                <w:sz w:val="22"/>
                <w:szCs w:val="22"/>
                <w:u w:val="none"/>
                <w:lang w:val="en-US" w:eastAsia="zh-CN" w:bidi="ar"/>
              </w:rPr>
              <w:t>008.01</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16"/>
                <w:szCs w:val="18"/>
              </w:rPr>
            </w:pPr>
            <w:r>
              <w:rPr>
                <w:rFonts w:hint="eastAsia" w:ascii="仿宋_GB2312" w:hAnsi="宋体" w:eastAsia="仿宋_GB2312" w:cs="仿宋_GB2312"/>
                <w:b/>
                <w:bCs/>
                <w:color w:val="000000"/>
                <w:kern w:val="0"/>
                <w:sz w:val="16"/>
                <w:szCs w:val="16"/>
              </w:rPr>
              <w:t>总计</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b/>
                <w:bCs/>
                <w:color w:val="000000"/>
                <w:kern w:val="0"/>
                <w:sz w:val="20"/>
                <w:szCs w:val="20"/>
              </w:rPr>
            </w:pPr>
            <w:r>
              <w:rPr>
                <w:rFonts w:hint="eastAsia" w:ascii="宋体" w:hAnsi="宋体" w:eastAsia="宋体" w:cs="宋体"/>
                <w:b/>
                <w:bCs/>
                <w:color w:val="000000"/>
                <w:kern w:val="0"/>
                <w:sz w:val="20"/>
                <w:szCs w:val="20"/>
              </w:rPr>
              <w:t>22</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kern w:val="2"/>
                <w:sz w:val="22"/>
                <w:szCs w:val="22"/>
                <w:u w:val="none"/>
                <w:lang w:val="en-US" w:eastAsia="zh-CN" w:bidi="ar-SA"/>
              </w:rPr>
            </w:pPr>
            <w:r>
              <w:rPr>
                <w:rFonts w:hint="eastAsia" w:asciiTheme="minorEastAsia" w:hAnsiTheme="minorEastAsia" w:eastAsiaTheme="minorEastAsia" w:cstheme="minorEastAsia"/>
                <w:b/>
                <w:bCs/>
                <w:i w:val="0"/>
                <w:iCs w:val="0"/>
                <w:color w:val="000000"/>
                <w:kern w:val="0"/>
                <w:sz w:val="22"/>
                <w:szCs w:val="22"/>
                <w:u w:val="none"/>
                <w:lang w:val="en-US" w:eastAsia="zh-CN" w:bidi="ar"/>
              </w:rPr>
              <w:t>21</w:t>
            </w:r>
            <w:r>
              <w:rPr>
                <w:rFonts w:hint="eastAsia" w:asciiTheme="minorEastAsia" w:hAnsiTheme="minorEastAsia" w:cstheme="minorEastAsia"/>
                <w:b/>
                <w:bCs/>
                <w:i w:val="0"/>
                <w:iCs w:val="0"/>
                <w:color w:val="000000"/>
                <w:kern w:val="0"/>
                <w:sz w:val="22"/>
                <w:szCs w:val="22"/>
                <w:u w:val="none"/>
                <w:lang w:val="en-US" w:eastAsia="zh-CN" w:bidi="ar"/>
              </w:rPr>
              <w:t>,</w:t>
            </w:r>
            <w:r>
              <w:rPr>
                <w:rFonts w:hint="eastAsia" w:asciiTheme="minorEastAsia" w:hAnsiTheme="minorEastAsia" w:eastAsiaTheme="minorEastAsia" w:cstheme="minorEastAsia"/>
                <w:b/>
                <w:bCs/>
                <w:i w:val="0"/>
                <w:iCs w:val="0"/>
                <w:color w:val="000000"/>
                <w:kern w:val="0"/>
                <w:sz w:val="22"/>
                <w:szCs w:val="22"/>
                <w:u w:val="none"/>
                <w:lang w:val="en-US" w:eastAsia="zh-CN" w:bidi="ar"/>
              </w:rPr>
              <w:t>008.01</w:t>
            </w:r>
          </w:p>
        </w:tc>
      </w:tr>
    </w:tbl>
    <w:p>
      <w:pPr>
        <w:snapToGrid w:val="0"/>
        <w:spacing w:line="300" w:lineRule="exact"/>
        <w:rPr>
          <w:rFonts w:ascii="宋体" w:hAnsi="宋体" w:eastAsia="仿宋_GB2312" w:cs="Times New Roman"/>
          <w:kern w:val="0"/>
          <w:sz w:val="18"/>
          <w:szCs w:val="18"/>
        </w:rPr>
      </w:pPr>
      <w:r>
        <w:rPr>
          <w:rFonts w:hint="eastAsia" w:ascii="宋体" w:hAnsi="宋体" w:eastAsia="仿宋_GB2312" w:cs="Times New Roman"/>
          <w:kern w:val="0"/>
          <w:sz w:val="18"/>
          <w:szCs w:val="18"/>
        </w:rPr>
        <w:t>注：1.本表反映部门本年度的总收支和年末结转结余情况。</w:t>
      </w:r>
    </w:p>
    <w:p>
      <w:pPr>
        <w:snapToGrid w:val="0"/>
        <w:spacing w:line="300" w:lineRule="exact"/>
        <w:ind w:firstLine="352" w:firstLineChars="200"/>
        <w:rPr>
          <w:rFonts w:ascii="宋体" w:hAnsi="宋体" w:eastAsia="仿宋_GB2312" w:cs="Times New Roman"/>
          <w:kern w:val="0"/>
          <w:sz w:val="18"/>
          <w:szCs w:val="18"/>
        </w:rPr>
      </w:pPr>
      <w:r>
        <w:rPr>
          <w:rFonts w:hint="eastAsia" w:ascii="宋体" w:hAnsi="宋体" w:eastAsia="仿宋_GB2312" w:cs="Times New Roman"/>
          <w:kern w:val="0"/>
          <w:sz w:val="18"/>
          <w:szCs w:val="18"/>
        </w:rPr>
        <w:t>2.本套报表金额单位转换时可能存在尾数误差。</w:t>
      </w:r>
    </w:p>
    <w:p>
      <w:pPr>
        <w:widowControl/>
        <w:jc w:val="left"/>
        <w:rPr>
          <w:rFonts w:ascii="宋体" w:hAnsi="宋体" w:eastAsia="仿宋_GB2312" w:cs="Times New Roman"/>
          <w:snapToGrid w:val="0"/>
          <w:kern w:val="0"/>
          <w:sz w:val="18"/>
          <w:szCs w:val="18"/>
        </w:rPr>
        <w:sectPr>
          <w:footerReference r:id="rId5" w:type="default"/>
          <w:pgSz w:w="11906" w:h="16838"/>
          <w:pgMar w:top="2041" w:right="1531" w:bottom="2041" w:left="1531" w:header="851" w:footer="1616" w:gutter="0"/>
          <w:pgBorders>
            <w:top w:val="none" w:sz="0" w:space="0"/>
            <w:left w:val="none" w:sz="0" w:space="0"/>
            <w:bottom w:val="none" w:sz="0" w:space="0"/>
            <w:right w:val="none" w:sz="0" w:space="0"/>
          </w:pgBorders>
          <w:pgNumType w:fmt="decimal" w:start="1"/>
          <w:cols w:space="720" w:num="1"/>
          <w:docGrid w:type="linesAndChars" w:linePitch="579" w:charSpace="-849"/>
        </w:sectPr>
      </w:pPr>
    </w:p>
    <w:p>
      <w:pPr>
        <w:keepNext w:val="0"/>
        <w:keepLines w:val="0"/>
        <w:pageBreakBefore w:val="0"/>
        <w:widowControl/>
        <w:kinsoku/>
        <w:wordWrap/>
        <w:overflowPunct/>
        <w:topLinePunct w:val="0"/>
        <w:autoSpaceDE/>
        <w:autoSpaceDN/>
        <w:bidi w:val="0"/>
        <w:adjustRightInd/>
        <w:snapToGrid w:val="0"/>
        <w:spacing w:before="289" w:beforeLines="50" w:after="289" w:afterLines="50"/>
        <w:jc w:val="center"/>
        <w:textAlignment w:val="auto"/>
        <w:outlineLvl w:val="1"/>
        <w:rPr>
          <w:rFonts w:hint="eastAsia" w:ascii="黑体" w:hAnsi="宋体" w:eastAsia="黑体" w:cs="宋体"/>
          <w:b w:val="0"/>
          <w:bCs/>
          <w:color w:val="000000"/>
          <w:kern w:val="0"/>
          <w:sz w:val="32"/>
          <w:szCs w:val="32"/>
        </w:rPr>
      </w:pPr>
      <w:bookmarkStart w:id="31" w:name="_Toc424398405"/>
      <w:bookmarkStart w:id="32" w:name="_Toc532949324_WPSOffice_Level2"/>
      <w:r>
        <w:rPr>
          <w:rFonts w:hint="eastAsia" w:ascii="黑体" w:hAnsi="宋体" w:eastAsia="黑体" w:cs="宋体"/>
          <w:b w:val="0"/>
          <w:bCs/>
          <w:color w:val="000000"/>
          <w:kern w:val="0"/>
          <w:sz w:val="32"/>
          <w:szCs w:val="32"/>
        </w:rPr>
        <w:t>二、收入决算表</w:t>
      </w:r>
      <w:bookmarkEnd w:id="31"/>
      <w:bookmarkEnd w:id="32"/>
      <w:bookmarkStart w:id="33" w:name="_Toc424398406"/>
    </w:p>
    <w:p>
      <w:pPr>
        <w:wordWrap w:val="0"/>
        <w:snapToGrid w:val="0"/>
        <w:spacing w:line="300" w:lineRule="exact"/>
        <w:jc w:val="right"/>
        <w:rPr>
          <w:rFonts w:ascii="宋体" w:hAnsi="宋体" w:eastAsia="仿宋_GB2312" w:cs="Times New Roman"/>
          <w:kern w:val="0"/>
          <w:sz w:val="18"/>
        </w:rPr>
      </w:pPr>
      <w:r>
        <w:rPr>
          <w:rFonts w:hint="eastAsia" w:ascii="宋体" w:hAnsi="宋体" w:eastAsia="仿宋_GB2312" w:cs="Times New Roman"/>
          <w:kern w:val="0"/>
          <w:sz w:val="18"/>
        </w:rPr>
        <w:t>公开02表</w:t>
      </w:r>
    </w:p>
    <w:p>
      <w:pPr>
        <w:wordWrap w:val="0"/>
        <w:snapToGrid w:val="0"/>
        <w:spacing w:line="300" w:lineRule="exact"/>
        <w:jc w:val="right"/>
        <w:rPr>
          <w:rFonts w:hint="eastAsia" w:ascii="宋体" w:hAnsi="宋体" w:eastAsia="仿宋_GB2312" w:cs="Times New Roman"/>
          <w:kern w:val="0"/>
          <w:sz w:val="18"/>
        </w:rPr>
      </w:pPr>
      <w:r>
        <w:rPr>
          <w:rFonts w:hint="eastAsia" w:ascii="宋体" w:hAnsi="宋体" w:eastAsia="仿宋_GB2312" w:cs="Times New Roman"/>
          <w:kern w:val="0"/>
          <w:sz w:val="18"/>
        </w:rPr>
        <w:t>金额单位：万元</w:t>
      </w:r>
    </w:p>
    <w:tbl>
      <w:tblPr>
        <w:tblStyle w:val="12"/>
        <w:tblW w:w="14625" w:type="dxa"/>
        <w:tblInd w:w="-8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93"/>
        <w:gridCol w:w="2673"/>
        <w:gridCol w:w="1551"/>
        <w:gridCol w:w="1551"/>
        <w:gridCol w:w="1551"/>
        <w:gridCol w:w="1551"/>
        <w:gridCol w:w="1551"/>
        <w:gridCol w:w="1551"/>
        <w:gridCol w:w="15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blHeader/>
        </w:trPr>
        <w:tc>
          <w:tcPr>
            <w:tcW w:w="3766"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项目</w:t>
            </w:r>
          </w:p>
        </w:tc>
        <w:tc>
          <w:tcPr>
            <w:tcW w:w="155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本年收入合计</w:t>
            </w:r>
          </w:p>
        </w:tc>
        <w:tc>
          <w:tcPr>
            <w:tcW w:w="155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财政拨款收入</w:t>
            </w:r>
          </w:p>
        </w:tc>
        <w:tc>
          <w:tcPr>
            <w:tcW w:w="155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上级补助收入</w:t>
            </w:r>
          </w:p>
        </w:tc>
        <w:tc>
          <w:tcPr>
            <w:tcW w:w="155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事业收入</w:t>
            </w:r>
          </w:p>
        </w:tc>
        <w:tc>
          <w:tcPr>
            <w:tcW w:w="155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经营收入</w:t>
            </w:r>
          </w:p>
        </w:tc>
        <w:tc>
          <w:tcPr>
            <w:tcW w:w="155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附属单位上缴收入</w:t>
            </w:r>
          </w:p>
        </w:tc>
        <w:tc>
          <w:tcPr>
            <w:tcW w:w="1553"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4" w:hRule="atLeast"/>
          <w:tblHeader/>
        </w:trPr>
        <w:tc>
          <w:tcPr>
            <w:tcW w:w="109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功能分类科目编码</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科目名称</w:t>
            </w:r>
          </w:p>
        </w:tc>
        <w:tc>
          <w:tcPr>
            <w:tcW w:w="15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c>
          <w:tcPr>
            <w:tcW w:w="15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c>
          <w:tcPr>
            <w:tcW w:w="15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c>
          <w:tcPr>
            <w:tcW w:w="15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c>
          <w:tcPr>
            <w:tcW w:w="15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c>
          <w:tcPr>
            <w:tcW w:w="15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c>
          <w:tcPr>
            <w:tcW w:w="155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42" w:hRule="atLeast"/>
          <w:tblHeader/>
        </w:trPr>
        <w:tc>
          <w:tcPr>
            <w:tcW w:w="3766"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栏次</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1</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2</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3</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4</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5</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6</w:t>
            </w:r>
          </w:p>
        </w:tc>
        <w:tc>
          <w:tcPr>
            <w:tcW w:w="155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3766"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16"/>
                <w:szCs w:val="18"/>
              </w:rPr>
            </w:pPr>
            <w:r>
              <w:rPr>
                <w:rFonts w:hint="eastAsia" w:ascii="仿宋_GB2312" w:hAnsi="宋体" w:eastAsia="仿宋_GB2312" w:cs="仿宋_GB2312"/>
                <w:b/>
                <w:bCs/>
                <w:color w:val="000000"/>
                <w:kern w:val="0"/>
                <w:sz w:val="20"/>
                <w:szCs w:val="20"/>
              </w:rPr>
              <w:t>合计</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17,484.83</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15,763.41</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1,721.42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093" w:type="dxa"/>
            <w:tcBorders>
              <w:top w:val="single" w:color="000000" w:sz="8" w:space="0"/>
              <w:left w:val="single" w:color="000000" w:sz="8" w:space="0"/>
              <w:bottom w:val="single" w:color="000000" w:sz="8" w:space="0"/>
              <w:right w:val="single" w:color="000000" w:sz="8" w:space="0"/>
            </w:tcBorders>
            <w:vAlign w:val="center"/>
          </w:tcPr>
          <w:p>
            <w:pPr>
              <w:jc w:val="both"/>
              <w:rPr>
                <w:rFonts w:hint="eastAsia" w:ascii="宋体" w:hAnsi="宋体" w:eastAsia="宋体" w:cs="宋体"/>
                <w:b/>
                <w:bCs/>
                <w:sz w:val="20"/>
                <w:szCs w:val="20"/>
              </w:rPr>
            </w:pPr>
            <w:r>
              <w:rPr>
                <w:rFonts w:hint="eastAsia" w:ascii="宋体" w:hAnsi="宋体" w:eastAsia="宋体" w:cs="宋体"/>
                <w:b/>
                <w:bCs/>
                <w:sz w:val="20"/>
                <w:szCs w:val="20"/>
              </w:rPr>
              <w:t>208</w:t>
            </w:r>
          </w:p>
        </w:tc>
        <w:tc>
          <w:tcPr>
            <w:tcW w:w="2673" w:type="dxa"/>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社会保障和就业支持</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753.50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753.50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093" w:type="dxa"/>
            <w:tcBorders>
              <w:top w:val="single" w:color="000000" w:sz="8" w:space="0"/>
              <w:left w:val="single" w:color="000000" w:sz="8" w:space="0"/>
              <w:bottom w:val="single" w:color="000000" w:sz="8" w:space="0"/>
              <w:right w:val="single" w:color="000000" w:sz="8" w:space="0"/>
            </w:tcBorders>
            <w:vAlign w:val="center"/>
          </w:tcPr>
          <w:p>
            <w:pPr>
              <w:jc w:val="both"/>
              <w:rPr>
                <w:rFonts w:hint="eastAsia" w:ascii="宋体" w:hAnsi="宋体" w:eastAsia="宋体" w:cs="宋体"/>
                <w:b/>
                <w:bCs/>
                <w:sz w:val="20"/>
                <w:szCs w:val="20"/>
              </w:rPr>
            </w:pPr>
            <w:r>
              <w:rPr>
                <w:rFonts w:hint="eastAsia" w:ascii="宋体" w:hAnsi="宋体" w:eastAsia="宋体" w:cs="宋体"/>
                <w:b/>
                <w:bCs/>
                <w:sz w:val="20"/>
                <w:szCs w:val="20"/>
              </w:rPr>
              <w:t>20805</w:t>
            </w:r>
          </w:p>
        </w:tc>
        <w:tc>
          <w:tcPr>
            <w:tcW w:w="2673" w:type="dxa"/>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行政事业养老支出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753.50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753.50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093" w:type="dxa"/>
            <w:tcBorders>
              <w:top w:val="single" w:color="000000" w:sz="8" w:space="0"/>
              <w:left w:val="single" w:color="000000" w:sz="8" w:space="0"/>
              <w:bottom w:val="single" w:color="000000" w:sz="8" w:space="0"/>
              <w:right w:val="single" w:color="000000" w:sz="8" w:space="0"/>
            </w:tcBorders>
            <w:vAlign w:val="center"/>
          </w:tcPr>
          <w:p>
            <w:pPr>
              <w:jc w:val="both"/>
              <w:rPr>
                <w:rFonts w:hint="eastAsia" w:ascii="宋体" w:hAnsi="宋体" w:eastAsia="宋体" w:cs="宋体"/>
                <w:sz w:val="20"/>
                <w:szCs w:val="20"/>
              </w:rPr>
            </w:pPr>
            <w:r>
              <w:rPr>
                <w:rFonts w:hint="eastAsia" w:ascii="宋体" w:hAnsi="宋体" w:eastAsia="宋体" w:cs="宋体"/>
                <w:sz w:val="20"/>
                <w:szCs w:val="20"/>
              </w:rPr>
              <w:t>2080501</w:t>
            </w:r>
          </w:p>
        </w:tc>
        <w:tc>
          <w:tcPr>
            <w:tcW w:w="2673" w:type="dxa"/>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行政单位离退休</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373.07</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373.07</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56" w:hRule="atLeast"/>
        </w:trPr>
        <w:tc>
          <w:tcPr>
            <w:tcW w:w="1093" w:type="dxa"/>
            <w:tcBorders>
              <w:top w:val="single" w:color="000000" w:sz="8" w:space="0"/>
              <w:left w:val="single" w:color="000000" w:sz="8" w:space="0"/>
              <w:bottom w:val="single" w:color="000000" w:sz="8" w:space="0"/>
              <w:right w:val="single" w:color="000000" w:sz="8" w:space="0"/>
            </w:tcBorders>
            <w:vAlign w:val="center"/>
          </w:tcPr>
          <w:p>
            <w:pPr>
              <w:jc w:val="both"/>
              <w:rPr>
                <w:rFonts w:hint="eastAsia" w:ascii="宋体" w:hAnsi="宋体" w:eastAsia="宋体" w:cs="宋体"/>
                <w:sz w:val="20"/>
                <w:szCs w:val="20"/>
              </w:rPr>
            </w:pPr>
            <w:r>
              <w:rPr>
                <w:rFonts w:hint="eastAsia" w:ascii="宋体" w:hAnsi="宋体" w:eastAsia="宋体" w:cs="宋体"/>
                <w:sz w:val="20"/>
                <w:szCs w:val="20"/>
              </w:rPr>
              <w:t>2080505</w:t>
            </w:r>
          </w:p>
        </w:tc>
        <w:tc>
          <w:tcPr>
            <w:tcW w:w="26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机关事业单位基本养老保险缴费支出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241.60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241.60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093" w:type="dxa"/>
            <w:tcBorders>
              <w:top w:val="single" w:color="000000" w:sz="8" w:space="0"/>
              <w:left w:val="single" w:color="000000" w:sz="8" w:space="0"/>
              <w:bottom w:val="single" w:color="000000" w:sz="8" w:space="0"/>
              <w:right w:val="single" w:color="000000" w:sz="8" w:space="0"/>
            </w:tcBorders>
            <w:vAlign w:val="center"/>
          </w:tcPr>
          <w:p>
            <w:pPr>
              <w:jc w:val="both"/>
              <w:rPr>
                <w:rFonts w:hint="eastAsia" w:ascii="宋体" w:hAnsi="宋体" w:eastAsia="宋体" w:cs="宋体"/>
                <w:sz w:val="20"/>
                <w:szCs w:val="20"/>
              </w:rPr>
            </w:pPr>
            <w:r>
              <w:rPr>
                <w:rFonts w:hint="eastAsia" w:ascii="宋体" w:hAnsi="宋体" w:eastAsia="宋体" w:cs="宋体"/>
                <w:sz w:val="20"/>
                <w:szCs w:val="20"/>
              </w:rPr>
              <w:t>2080506</w:t>
            </w:r>
          </w:p>
        </w:tc>
        <w:tc>
          <w:tcPr>
            <w:tcW w:w="2673"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机关事业单位职业年金缴费支出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138.83</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138.83</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sz w:val="20"/>
                <w:szCs w:val="20"/>
              </w:rPr>
            </w:pPr>
            <w:r>
              <w:rPr>
                <w:rFonts w:hint="eastAsia" w:ascii="宋体" w:hAnsi="宋体" w:eastAsia="宋体" w:cs="宋体"/>
                <w:sz w:val="20"/>
                <w:szCs w:val="20"/>
              </w:rPr>
              <w:t>210</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卫生健康支出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296.95</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296.95</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21011</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行政事业单位医疗</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296.95</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296.95</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2101101</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行政单位医疗</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296.95</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296.95</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214</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交通运输支出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16,134.38</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14,412.96</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1,721.42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21401</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公路水路运输</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16,134.38</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14,412.96</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1,721.42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2140131</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海事管理</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6,358.38</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4,636.96</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1,721.42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2140199</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其他公路水路运输支出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9,776.00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9,776.00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221</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住房保障支出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300.00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300.00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b/>
                <w:bCs/>
                <w:sz w:val="20"/>
                <w:szCs w:val="20"/>
              </w:rPr>
            </w:pPr>
            <w:r>
              <w:rPr>
                <w:rFonts w:hint="eastAsia" w:ascii="宋体" w:hAnsi="宋体" w:eastAsia="宋体" w:cs="宋体"/>
                <w:b/>
                <w:bCs/>
                <w:sz w:val="20"/>
                <w:szCs w:val="20"/>
              </w:rPr>
              <w:t>22102</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lang w:val="en-US" w:eastAsia="zh-CN"/>
              </w:rPr>
            </w:pPr>
            <w:r>
              <w:rPr>
                <w:rFonts w:hint="eastAsia" w:ascii="仿宋" w:hAnsi="仿宋" w:eastAsia="仿宋" w:cs="仿宋"/>
                <w:b/>
                <w:bCs/>
                <w:color w:val="000000"/>
                <w:kern w:val="0"/>
                <w:sz w:val="20"/>
                <w:szCs w:val="20"/>
                <w:lang w:val="en-US" w:eastAsia="zh-CN"/>
              </w:rPr>
              <w:t>住房改革支出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300.00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300.00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2210201</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住房公积金</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300.00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300.00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r>
    </w:tbl>
    <w:p>
      <w:pPr>
        <w:snapToGrid w:val="0"/>
        <w:spacing w:line="300" w:lineRule="exact"/>
        <w:rPr>
          <w:rFonts w:ascii="宋体" w:hAnsi="宋体" w:eastAsia="仿宋_GB2312" w:cs="Times New Roman"/>
          <w:kern w:val="0"/>
          <w:sz w:val="18"/>
          <w:szCs w:val="18"/>
        </w:rPr>
      </w:pPr>
      <w:r>
        <w:rPr>
          <w:rFonts w:hint="eastAsia" w:ascii="宋体" w:hAnsi="宋体" w:eastAsia="仿宋_GB2312" w:cs="Times New Roman"/>
          <w:kern w:val="0"/>
          <w:sz w:val="18"/>
          <w:szCs w:val="18"/>
        </w:rPr>
        <w:t>注：1.本表反映部门本年度取得的各项收入情况。</w:t>
      </w:r>
    </w:p>
    <w:p>
      <w:pPr>
        <w:snapToGrid w:val="0"/>
        <w:spacing w:line="300" w:lineRule="exact"/>
        <w:ind w:firstLine="352" w:firstLineChars="200"/>
        <w:rPr>
          <w:rFonts w:ascii="黑体" w:hAnsi="Calibri" w:eastAsia="黑体" w:cs="Times New Roman"/>
          <w:kern w:val="0"/>
          <w:sz w:val="32"/>
        </w:rPr>
      </w:pPr>
      <w:r>
        <w:rPr>
          <w:rFonts w:hint="eastAsia" w:ascii="宋体" w:hAnsi="宋体" w:eastAsia="仿宋_GB2312" w:cs="Times New Roman"/>
          <w:kern w:val="0"/>
          <w:sz w:val="18"/>
          <w:szCs w:val="18"/>
        </w:rPr>
        <w:t>2.本套报表金额单位转换时可能存在尾数误差。</w:t>
      </w:r>
    </w:p>
    <w:p>
      <w:pPr>
        <w:widowControl/>
        <w:jc w:val="left"/>
        <w:rPr>
          <w:rFonts w:ascii="黑体" w:hAnsi="Calibri" w:eastAsia="黑体" w:cs="Times New Roman"/>
          <w:snapToGrid w:val="0"/>
          <w:kern w:val="0"/>
          <w:sz w:val="32"/>
        </w:rPr>
        <w:sectPr>
          <w:pgSz w:w="16838" w:h="11906" w:orient="landscape"/>
          <w:pgMar w:top="1474" w:right="2041" w:bottom="1474"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kinsoku/>
        <w:wordWrap/>
        <w:overflowPunct/>
        <w:topLinePunct w:val="0"/>
        <w:autoSpaceDE/>
        <w:autoSpaceDN/>
        <w:bidi w:val="0"/>
        <w:adjustRightInd/>
        <w:snapToGrid w:val="0"/>
        <w:jc w:val="center"/>
        <w:textAlignment w:val="auto"/>
        <w:outlineLvl w:val="1"/>
        <w:rPr>
          <w:rFonts w:hint="eastAsia" w:ascii="黑体" w:hAnsi="黑体" w:eastAsia="黑体" w:cs="黑体"/>
          <w:b w:val="0"/>
          <w:bCs w:val="0"/>
          <w:kern w:val="0"/>
          <w:sz w:val="32"/>
          <w:szCs w:val="32"/>
        </w:rPr>
      </w:pPr>
      <w:bookmarkStart w:id="34" w:name="_Toc894645949_WPSOffice_Level2"/>
      <w:r>
        <w:rPr>
          <w:rFonts w:hint="eastAsia" w:ascii="黑体" w:hAnsi="黑体" w:eastAsia="黑体" w:cs="黑体"/>
          <w:b w:val="0"/>
          <w:bCs w:val="0"/>
          <w:kern w:val="0"/>
          <w:sz w:val="32"/>
          <w:szCs w:val="32"/>
        </w:rPr>
        <w:t>三、支出决算表</w:t>
      </w:r>
      <w:bookmarkEnd w:id="33"/>
      <w:bookmarkEnd w:id="34"/>
    </w:p>
    <w:p>
      <w:pPr>
        <w:wordWrap w:val="0"/>
        <w:snapToGrid w:val="0"/>
        <w:spacing w:line="300" w:lineRule="exact"/>
        <w:jc w:val="right"/>
        <w:rPr>
          <w:rFonts w:ascii="宋体" w:hAnsi="宋体" w:eastAsia="仿宋_GB2312" w:cs="Times New Roman"/>
          <w:kern w:val="0"/>
          <w:sz w:val="18"/>
        </w:rPr>
      </w:pPr>
      <w:r>
        <w:rPr>
          <w:rFonts w:hint="eastAsia" w:ascii="宋体" w:hAnsi="宋体" w:eastAsia="仿宋_GB2312" w:cs="Times New Roman"/>
          <w:kern w:val="0"/>
          <w:sz w:val="18"/>
        </w:rPr>
        <w:t>公开03表</w:t>
      </w:r>
    </w:p>
    <w:p>
      <w:pPr>
        <w:wordWrap w:val="0"/>
        <w:snapToGrid w:val="0"/>
        <w:spacing w:line="300" w:lineRule="exact"/>
        <w:jc w:val="right"/>
        <w:rPr>
          <w:rFonts w:ascii="黑体" w:hAnsi="Calibri" w:eastAsia="黑体" w:cs="Times New Roman"/>
          <w:b/>
          <w:bCs/>
          <w:kern w:val="0"/>
          <w:sz w:val="32"/>
          <w:szCs w:val="32"/>
        </w:rPr>
      </w:pPr>
      <w:r>
        <w:rPr>
          <w:rFonts w:hint="eastAsia" w:ascii="宋体" w:hAnsi="宋体" w:eastAsia="仿宋_GB2312" w:cs="Times New Roman"/>
          <w:kern w:val="0"/>
          <w:sz w:val="18"/>
        </w:rPr>
        <w:t>金额单位：万元</w:t>
      </w:r>
    </w:p>
    <w:tbl>
      <w:tblPr>
        <w:tblStyle w:val="12"/>
        <w:tblW w:w="14655" w:type="dxa"/>
        <w:tblInd w:w="-8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66"/>
        <w:gridCol w:w="2525"/>
        <w:gridCol w:w="1810"/>
        <w:gridCol w:w="1810"/>
        <w:gridCol w:w="1810"/>
        <w:gridCol w:w="1810"/>
        <w:gridCol w:w="1810"/>
        <w:gridCol w:w="18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blHeader/>
        </w:trPr>
        <w:tc>
          <w:tcPr>
            <w:tcW w:w="3791"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项目</w:t>
            </w:r>
          </w:p>
        </w:tc>
        <w:tc>
          <w:tcPr>
            <w:tcW w:w="1810"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本年支出合计</w:t>
            </w:r>
          </w:p>
        </w:tc>
        <w:tc>
          <w:tcPr>
            <w:tcW w:w="1810"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基本支出</w:t>
            </w:r>
          </w:p>
        </w:tc>
        <w:tc>
          <w:tcPr>
            <w:tcW w:w="1810"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项目支出</w:t>
            </w:r>
          </w:p>
        </w:tc>
        <w:tc>
          <w:tcPr>
            <w:tcW w:w="1810"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上缴上级支出</w:t>
            </w:r>
          </w:p>
        </w:tc>
        <w:tc>
          <w:tcPr>
            <w:tcW w:w="1810"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经营支出</w:t>
            </w:r>
          </w:p>
        </w:tc>
        <w:tc>
          <w:tcPr>
            <w:tcW w:w="1814"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blHeader/>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仿宋_GB2312" w:cs="Arial"/>
                <w:b/>
                <w:bCs/>
                <w:color w:val="000000"/>
                <w:kern w:val="0"/>
                <w:sz w:val="20"/>
                <w:szCs w:val="20"/>
              </w:rPr>
              <w:t>功能分类科目编码</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科目名称</w:t>
            </w:r>
          </w:p>
        </w:tc>
        <w:tc>
          <w:tcPr>
            <w:tcW w:w="18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仿宋_GB2312" w:cs="Arial"/>
                <w:b/>
                <w:bCs/>
                <w:color w:val="000000"/>
                <w:kern w:val="0"/>
                <w:sz w:val="20"/>
                <w:szCs w:val="20"/>
              </w:rPr>
            </w:pPr>
          </w:p>
        </w:tc>
        <w:tc>
          <w:tcPr>
            <w:tcW w:w="18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仿宋_GB2312" w:cs="Arial"/>
                <w:b/>
                <w:bCs/>
                <w:color w:val="000000"/>
                <w:kern w:val="0"/>
                <w:sz w:val="20"/>
                <w:szCs w:val="20"/>
              </w:rPr>
            </w:pPr>
          </w:p>
        </w:tc>
        <w:tc>
          <w:tcPr>
            <w:tcW w:w="18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仿宋_GB2312" w:cs="Arial"/>
                <w:b/>
                <w:bCs/>
                <w:color w:val="000000"/>
                <w:kern w:val="0"/>
                <w:sz w:val="20"/>
                <w:szCs w:val="20"/>
              </w:rPr>
            </w:pPr>
          </w:p>
        </w:tc>
        <w:tc>
          <w:tcPr>
            <w:tcW w:w="18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仿宋_GB2312" w:cs="Arial"/>
                <w:b/>
                <w:bCs/>
                <w:color w:val="000000"/>
                <w:kern w:val="0"/>
                <w:sz w:val="20"/>
                <w:szCs w:val="20"/>
              </w:rPr>
            </w:pPr>
          </w:p>
        </w:tc>
        <w:tc>
          <w:tcPr>
            <w:tcW w:w="18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仿宋_GB2312" w:cs="Arial"/>
                <w:b/>
                <w:bCs/>
                <w:color w:val="000000"/>
                <w:kern w:val="0"/>
                <w:sz w:val="20"/>
                <w:szCs w:val="20"/>
              </w:rPr>
            </w:pPr>
          </w:p>
        </w:tc>
        <w:tc>
          <w:tcPr>
            <w:tcW w:w="181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仿宋_GB2312" w:cs="Arial"/>
                <w:b/>
                <w:bCs/>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blHeader/>
        </w:trPr>
        <w:tc>
          <w:tcPr>
            <w:tcW w:w="3791"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栏次</w:t>
            </w:r>
          </w:p>
        </w:tc>
        <w:tc>
          <w:tcPr>
            <w:tcW w:w="181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1</w:t>
            </w:r>
          </w:p>
        </w:tc>
        <w:tc>
          <w:tcPr>
            <w:tcW w:w="181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2</w:t>
            </w:r>
          </w:p>
        </w:tc>
        <w:tc>
          <w:tcPr>
            <w:tcW w:w="181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3</w:t>
            </w:r>
          </w:p>
        </w:tc>
        <w:tc>
          <w:tcPr>
            <w:tcW w:w="181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4</w:t>
            </w:r>
          </w:p>
        </w:tc>
        <w:tc>
          <w:tcPr>
            <w:tcW w:w="181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5</w:t>
            </w:r>
          </w:p>
        </w:tc>
        <w:tc>
          <w:tcPr>
            <w:tcW w:w="18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791"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合计</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18,789.10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6,149.95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12,639.15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208</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社会保障和就业支出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753.50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753.50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20805</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行政事业单位养老支出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753.50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753.50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行政单位离退休</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373.07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373.07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2080505</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机关事业单位基本养老保险缴费支出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241.60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241.60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2080506</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机关事业单位职业年金缴费支出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138.83</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138.83</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210</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卫生健康支出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296.95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296.95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21011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行政事业单位医疗</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296.95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296.95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2101101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行政单位医疗</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296.95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296.95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214</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交通运输支出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17,438.65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4,799.50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12,639.15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21401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公路水路运输</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17,438.65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4,799.50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12,639.15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2140131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海事管理</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6,020.05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4,799.50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1,220.55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2140199</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其他公路水路运输支出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11,418.60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11,418.60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221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住房保障支出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300.00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300.00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22102</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住房改革支出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300.00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300.00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2210201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住房公积金</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300.00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300.00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bl>
    <w:p>
      <w:pPr>
        <w:snapToGrid w:val="0"/>
        <w:spacing w:line="300" w:lineRule="exact"/>
        <w:rPr>
          <w:rFonts w:ascii="宋体" w:hAnsi="宋体" w:eastAsia="仿宋_GB2312" w:cs="Times New Roman"/>
          <w:kern w:val="0"/>
          <w:sz w:val="18"/>
          <w:szCs w:val="18"/>
        </w:rPr>
      </w:pPr>
      <w:r>
        <w:rPr>
          <w:rFonts w:hint="eastAsia" w:ascii="宋体" w:hAnsi="宋体" w:eastAsia="仿宋_GB2312" w:cs="Times New Roman"/>
          <w:kern w:val="0"/>
          <w:sz w:val="18"/>
          <w:szCs w:val="18"/>
        </w:rPr>
        <w:t>注：1.本表反映部门本年度各项支出情况。</w:t>
      </w:r>
      <w:bookmarkStart w:id="35" w:name="_Toc424398407"/>
    </w:p>
    <w:p>
      <w:pPr>
        <w:snapToGrid w:val="0"/>
        <w:spacing w:line="300" w:lineRule="exact"/>
        <w:ind w:firstLine="352" w:firstLineChars="200"/>
        <w:rPr>
          <w:rFonts w:ascii="宋体" w:hAnsi="宋体" w:eastAsia="仿宋_GB2312" w:cs="Times New Roman"/>
          <w:kern w:val="0"/>
          <w:sz w:val="18"/>
          <w:szCs w:val="18"/>
        </w:rPr>
      </w:pPr>
      <w:r>
        <w:rPr>
          <w:rFonts w:hint="eastAsia" w:ascii="宋体" w:hAnsi="宋体" w:eastAsia="仿宋_GB2312" w:cs="Times New Roman"/>
          <w:kern w:val="0"/>
          <w:sz w:val="18"/>
          <w:szCs w:val="18"/>
        </w:rPr>
        <w:t>2.本套报表金额单位转换时可能存在尾数误差。</w:t>
      </w:r>
    </w:p>
    <w:p>
      <w:pPr>
        <w:widowControl/>
        <w:jc w:val="left"/>
        <w:rPr>
          <w:rFonts w:ascii="宋体" w:hAnsi="宋体" w:eastAsia="仿宋_GB2312" w:cs="Times New Roman"/>
          <w:snapToGrid w:val="0"/>
          <w:kern w:val="0"/>
          <w:sz w:val="18"/>
          <w:szCs w:val="18"/>
        </w:rPr>
        <w:sectPr>
          <w:pgSz w:w="16838" w:h="11906" w:orient="landscape"/>
          <w:pgMar w:top="1531" w:right="2041" w:bottom="1531"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kinsoku/>
        <w:wordWrap/>
        <w:overflowPunct/>
        <w:topLinePunct w:val="0"/>
        <w:autoSpaceDE/>
        <w:autoSpaceDN/>
        <w:bidi w:val="0"/>
        <w:adjustRightInd/>
        <w:snapToGrid w:val="0"/>
        <w:spacing w:before="289" w:beforeLines="50" w:after="289" w:afterLines="50"/>
        <w:jc w:val="center"/>
        <w:textAlignment w:val="auto"/>
        <w:outlineLvl w:val="1"/>
        <w:rPr>
          <w:rFonts w:ascii="黑体" w:hAnsi="宋体" w:eastAsia="黑体" w:cs="宋体"/>
          <w:b w:val="0"/>
          <w:bCs/>
          <w:color w:val="000000"/>
          <w:kern w:val="0"/>
          <w:sz w:val="32"/>
          <w:szCs w:val="32"/>
        </w:rPr>
      </w:pPr>
      <w:bookmarkStart w:id="36" w:name="_Toc2115693502_WPSOffice_Level2"/>
      <w:r>
        <w:rPr>
          <w:rFonts w:hint="eastAsia" w:ascii="黑体" w:hAnsi="宋体" w:eastAsia="黑体" w:cs="宋体"/>
          <w:b w:val="0"/>
          <w:bCs/>
          <w:color w:val="000000"/>
          <w:kern w:val="0"/>
          <w:sz w:val="32"/>
          <w:szCs w:val="32"/>
        </w:rPr>
        <w:t>四、财政拨款收入支出决算总表</w:t>
      </w:r>
      <w:bookmarkEnd w:id="35"/>
      <w:bookmarkEnd w:id="36"/>
    </w:p>
    <w:p>
      <w:pPr>
        <w:wordWrap w:val="0"/>
        <w:snapToGrid w:val="0"/>
        <w:spacing w:line="300" w:lineRule="exact"/>
        <w:jc w:val="right"/>
        <w:rPr>
          <w:rFonts w:ascii="宋体" w:hAnsi="宋体" w:eastAsia="仿宋_GB2312" w:cs="Times New Roman"/>
          <w:kern w:val="0"/>
          <w:sz w:val="18"/>
        </w:rPr>
      </w:pPr>
      <w:r>
        <w:rPr>
          <w:rFonts w:hint="eastAsia" w:ascii="宋体" w:hAnsi="宋体" w:eastAsia="仿宋_GB2312" w:cs="Times New Roman"/>
          <w:kern w:val="0"/>
          <w:sz w:val="18"/>
        </w:rPr>
        <w:t>公开04表</w:t>
      </w:r>
    </w:p>
    <w:p>
      <w:pPr>
        <w:wordWrap w:val="0"/>
        <w:snapToGrid w:val="0"/>
        <w:spacing w:line="300" w:lineRule="exact"/>
        <w:jc w:val="right"/>
        <w:rPr>
          <w:rFonts w:ascii="Calibri" w:hAnsi="Calibri" w:eastAsia="仿宋_GB2312" w:cs="Times New Roman"/>
          <w:kern w:val="0"/>
          <w:sz w:val="32"/>
        </w:rPr>
      </w:pPr>
      <w:r>
        <w:rPr>
          <w:rFonts w:hint="eastAsia" w:ascii="宋体" w:hAnsi="宋体" w:eastAsia="仿宋_GB2312" w:cs="Times New Roman"/>
          <w:kern w:val="0"/>
          <w:sz w:val="18"/>
        </w:rPr>
        <w:t>金额单位：万元</w:t>
      </w:r>
    </w:p>
    <w:tbl>
      <w:tblPr>
        <w:tblStyle w:val="12"/>
        <w:tblW w:w="109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94"/>
        <w:gridCol w:w="427"/>
        <w:gridCol w:w="1337"/>
        <w:gridCol w:w="2343"/>
        <w:gridCol w:w="469"/>
        <w:gridCol w:w="1223"/>
        <w:gridCol w:w="1296"/>
        <w:gridCol w:w="11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458"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收     入</w:t>
            </w:r>
          </w:p>
        </w:tc>
        <w:tc>
          <w:tcPr>
            <w:tcW w:w="6447"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支     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项目</w:t>
            </w:r>
          </w:p>
        </w:tc>
        <w:tc>
          <w:tcPr>
            <w:tcW w:w="427"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行次</w:t>
            </w:r>
          </w:p>
        </w:tc>
        <w:tc>
          <w:tcPr>
            <w:tcW w:w="1337"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金额</w:t>
            </w:r>
          </w:p>
        </w:tc>
        <w:tc>
          <w:tcPr>
            <w:tcW w:w="2343"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项目</w:t>
            </w:r>
          </w:p>
        </w:tc>
        <w:tc>
          <w:tcPr>
            <w:tcW w:w="469"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行次</w:t>
            </w:r>
          </w:p>
        </w:tc>
        <w:tc>
          <w:tcPr>
            <w:tcW w:w="1223"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合计</w:t>
            </w:r>
          </w:p>
        </w:tc>
        <w:tc>
          <w:tcPr>
            <w:tcW w:w="1296"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一般公共预算财政拨款</w:t>
            </w:r>
          </w:p>
        </w:tc>
        <w:tc>
          <w:tcPr>
            <w:tcW w:w="1116"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jc w:val="center"/>
        </w:trPr>
        <w:tc>
          <w:tcPr>
            <w:tcW w:w="269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42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133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23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4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122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12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111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栏次</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133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1</w:t>
            </w: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栏次</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122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w:t>
            </w:r>
          </w:p>
        </w:tc>
        <w:tc>
          <w:tcPr>
            <w:tcW w:w="129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3</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一、一般公共预算财政拨款</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1</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15763.41</w:t>
            </w: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一、社会保障和就业支出</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13</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753.50</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753.50</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宋体" w:cs="Times New Roman"/>
                <w:color w:val="000000"/>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二、政府性基金预算财政拨款</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2</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二、卫生健康支出</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296.95</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296.95</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宋体" w:cs="Times New Roman"/>
                <w:color w:val="000000"/>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三、国有资本经营预算财政拨款</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3</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 xml:space="preserve">      0.00</w:t>
            </w: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三、交通运输支出</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15</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16078.44</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16078.44</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宋体" w:cs="Times New Roman"/>
                <w:color w:val="000000"/>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4</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四、住房保障支出</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16</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宋体" w:cs="Times New Roman"/>
                <w:color w:val="000000"/>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5</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17</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方正仿宋_GB2312" w:cs="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6</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234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18</w:t>
            </w:r>
          </w:p>
        </w:tc>
        <w:tc>
          <w:tcPr>
            <w:tcW w:w="122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29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11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b/>
                <w:bCs w:val="0"/>
                <w:color w:val="000000"/>
                <w:kern w:val="0"/>
                <w:sz w:val="20"/>
                <w:szCs w:val="20"/>
              </w:rPr>
            </w:pPr>
            <w:r>
              <w:rPr>
                <w:rFonts w:hint="eastAsia" w:ascii="仿宋" w:hAnsi="仿宋" w:eastAsia="仿宋" w:cs="仿宋"/>
                <w:b/>
                <w:bCs w:val="0"/>
                <w:color w:val="000000"/>
                <w:kern w:val="0"/>
                <w:sz w:val="20"/>
                <w:szCs w:val="20"/>
              </w:rPr>
              <w:t>本年收入合计</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b/>
                <w:bCs w:val="0"/>
                <w:color w:val="000000"/>
                <w:kern w:val="0"/>
                <w:sz w:val="20"/>
                <w:szCs w:val="20"/>
              </w:rPr>
            </w:pPr>
            <w:r>
              <w:rPr>
                <w:rFonts w:hint="eastAsia" w:ascii="方正仿宋_GB2312" w:hAnsi="方正仿宋_GB2312" w:eastAsia="方正仿宋_GB2312" w:cs="方正仿宋_GB2312"/>
                <w:b/>
                <w:bCs w:val="0"/>
                <w:color w:val="000000"/>
                <w:kern w:val="0"/>
                <w:sz w:val="20"/>
                <w:szCs w:val="20"/>
              </w:rPr>
              <w:t>7</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eastAsia="宋体" w:cs="宋体"/>
                <w:b/>
                <w:bCs w:val="0"/>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15,763.41</w:t>
            </w: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b/>
                <w:bCs w:val="0"/>
                <w:color w:val="000000"/>
                <w:kern w:val="0"/>
                <w:sz w:val="20"/>
                <w:szCs w:val="20"/>
              </w:rPr>
            </w:pPr>
            <w:r>
              <w:rPr>
                <w:rFonts w:hint="eastAsia" w:ascii="仿宋" w:hAnsi="仿宋" w:eastAsia="仿宋" w:cs="仿宋"/>
                <w:b/>
                <w:bCs w:val="0"/>
                <w:color w:val="000000"/>
                <w:kern w:val="0"/>
                <w:sz w:val="20"/>
                <w:szCs w:val="20"/>
              </w:rPr>
              <w:t>本年支出合计</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b/>
                <w:bCs w:val="0"/>
                <w:color w:val="000000"/>
                <w:kern w:val="0"/>
                <w:sz w:val="20"/>
                <w:szCs w:val="20"/>
              </w:rPr>
            </w:pPr>
            <w:r>
              <w:rPr>
                <w:rFonts w:hint="eastAsia" w:ascii="仿宋" w:hAnsi="仿宋" w:eastAsia="仿宋" w:cs="仿宋"/>
                <w:b/>
                <w:bCs w:val="0"/>
                <w:color w:val="000000"/>
                <w:kern w:val="0"/>
                <w:sz w:val="20"/>
                <w:szCs w:val="20"/>
              </w:rPr>
              <w:t>19</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val="0"/>
                <w:i w:val="0"/>
                <w:iCs w:val="0"/>
                <w:color w:val="000000"/>
                <w:kern w:val="0"/>
                <w:sz w:val="16"/>
                <w:szCs w:val="16"/>
                <w:u w:val="none"/>
                <w:lang w:val="en-US" w:eastAsia="zh-CN" w:bidi="ar"/>
              </w:rPr>
            </w:pPr>
            <w:r>
              <w:rPr>
                <w:rFonts w:hint="eastAsia" w:ascii="宋体" w:hAnsi="宋体" w:eastAsia="宋体" w:cs="宋体"/>
                <w:b/>
                <w:bCs w:val="0"/>
                <w:i w:val="0"/>
                <w:color w:val="000000"/>
                <w:kern w:val="0"/>
                <w:sz w:val="22"/>
                <w:szCs w:val="22"/>
                <w:u w:val="none"/>
                <w:lang w:val="en-US" w:eastAsia="zh-CN" w:bidi="ar"/>
              </w:rPr>
              <w:t>17428.89</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val="0"/>
                <w:i w:val="0"/>
                <w:iCs w:val="0"/>
                <w:color w:val="000000"/>
                <w:kern w:val="0"/>
                <w:sz w:val="16"/>
                <w:szCs w:val="16"/>
                <w:u w:val="none"/>
                <w:lang w:val="en-US" w:eastAsia="zh-CN" w:bidi="ar"/>
              </w:rPr>
            </w:pPr>
            <w:r>
              <w:rPr>
                <w:rFonts w:hint="eastAsia" w:ascii="宋体" w:hAnsi="宋体" w:eastAsia="宋体" w:cs="宋体"/>
                <w:b/>
                <w:bCs w:val="0"/>
                <w:i w:val="0"/>
                <w:color w:val="000000"/>
                <w:kern w:val="0"/>
                <w:sz w:val="22"/>
                <w:szCs w:val="22"/>
                <w:u w:val="none"/>
                <w:lang w:val="en-US" w:eastAsia="zh-CN" w:bidi="ar"/>
              </w:rPr>
              <w:t>17428.89</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宋体" w:cs="Times New Roman"/>
                <w:b/>
                <w:bCs w:val="0"/>
                <w:color w:val="000000"/>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年初财政拨款结转和结余</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8</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1,665.88</w:t>
            </w: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年末财政拨款结转和结余</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ascii="Times New Roman" w:hAnsi="Times New Roman" w:eastAsia="方正仿宋_GB2312"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0.4</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ascii="Times New Roman" w:hAnsi="Times New Roman" w:eastAsia="方正仿宋_GB2312"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0.4</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方正仿宋_GB2312" w:cs="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一、一般公共预算财政拨款</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9</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1,665.88</w:t>
            </w:r>
          </w:p>
        </w:tc>
        <w:tc>
          <w:tcPr>
            <w:tcW w:w="234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w:t>
            </w:r>
          </w:p>
        </w:tc>
        <w:tc>
          <w:tcPr>
            <w:tcW w:w="122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29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11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二、政府性基金预算财政拨款</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10</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ascii="Times New Roman" w:hAnsi="Times New Roman" w:eastAsia="方正仿宋_GB2312"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34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22</w:t>
            </w:r>
          </w:p>
        </w:tc>
        <w:tc>
          <w:tcPr>
            <w:tcW w:w="122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29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11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三、</w:t>
            </w:r>
            <w:r>
              <w:rPr>
                <w:rFonts w:hint="eastAsia" w:ascii="仿宋" w:hAnsi="仿宋" w:eastAsia="仿宋" w:cs="仿宋"/>
                <w:color w:val="000000"/>
                <w:kern w:val="0"/>
                <w:sz w:val="20"/>
                <w:szCs w:val="20"/>
              </w:rPr>
              <w:t>国有资本经营预算财政拨款</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11</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ascii="Times New Roman" w:hAnsi="Times New Roman" w:eastAsia="方正仿宋_GB2312"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34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w:t>
            </w:r>
          </w:p>
        </w:tc>
        <w:tc>
          <w:tcPr>
            <w:tcW w:w="122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29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11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b w:val="0"/>
                <w:bCs/>
                <w:color w:val="000000"/>
                <w:kern w:val="0"/>
                <w:sz w:val="20"/>
                <w:szCs w:val="20"/>
              </w:rPr>
            </w:pPr>
            <w:r>
              <w:rPr>
                <w:rFonts w:hint="eastAsia" w:ascii="仿宋" w:hAnsi="仿宋" w:eastAsia="仿宋" w:cs="仿宋"/>
                <w:b w:val="0"/>
                <w:bCs/>
                <w:color w:val="000000"/>
                <w:kern w:val="0"/>
                <w:sz w:val="20"/>
                <w:szCs w:val="20"/>
              </w:rPr>
              <w:t>总计</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b w:val="0"/>
                <w:bCs/>
                <w:color w:val="000000"/>
                <w:kern w:val="0"/>
                <w:sz w:val="20"/>
                <w:szCs w:val="20"/>
              </w:rPr>
            </w:pPr>
            <w:r>
              <w:rPr>
                <w:rFonts w:hint="eastAsia" w:ascii="方正仿宋_GB2312" w:hAnsi="方正仿宋_GB2312" w:eastAsia="方正仿宋_GB2312" w:cs="方正仿宋_GB2312"/>
                <w:b w:val="0"/>
                <w:bCs/>
                <w:color w:val="000000"/>
                <w:kern w:val="0"/>
                <w:sz w:val="20"/>
                <w:szCs w:val="20"/>
              </w:rPr>
              <w:t>12</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17,429.29</w:t>
            </w: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b w:val="0"/>
                <w:bCs/>
                <w:color w:val="000000"/>
                <w:kern w:val="0"/>
                <w:sz w:val="20"/>
                <w:szCs w:val="20"/>
              </w:rPr>
            </w:pPr>
            <w:r>
              <w:rPr>
                <w:rFonts w:hint="eastAsia" w:ascii="仿宋" w:hAnsi="仿宋" w:eastAsia="仿宋" w:cs="仿宋"/>
                <w:b w:val="0"/>
                <w:bCs/>
                <w:color w:val="000000"/>
                <w:kern w:val="0"/>
                <w:sz w:val="20"/>
                <w:szCs w:val="20"/>
              </w:rPr>
              <w:t>总计</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b w:val="0"/>
                <w:bCs/>
                <w:color w:val="000000"/>
                <w:kern w:val="0"/>
                <w:sz w:val="20"/>
                <w:szCs w:val="20"/>
              </w:rPr>
            </w:pPr>
            <w:r>
              <w:rPr>
                <w:rFonts w:hint="eastAsia" w:ascii="仿宋" w:hAnsi="仿宋" w:eastAsia="仿宋" w:cs="仿宋"/>
                <w:b w:val="0"/>
                <w:bCs/>
                <w:color w:val="000000"/>
                <w:kern w:val="0"/>
                <w:sz w:val="20"/>
                <w:szCs w:val="20"/>
              </w:rPr>
              <w:t>24</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val="0"/>
                <w:bCs/>
                <w:i w:val="0"/>
                <w:iCs w:val="0"/>
                <w:color w:val="000000"/>
                <w:kern w:val="0"/>
                <w:sz w:val="16"/>
                <w:szCs w:val="16"/>
                <w:u w:val="none"/>
                <w:lang w:val="en-US" w:eastAsia="zh-CN" w:bidi="ar"/>
              </w:rPr>
            </w:pPr>
            <w:r>
              <w:rPr>
                <w:rFonts w:hint="eastAsia" w:ascii="宋体" w:hAnsi="宋体" w:eastAsia="宋体" w:cs="宋体"/>
                <w:b w:val="0"/>
                <w:bCs/>
                <w:i w:val="0"/>
                <w:color w:val="000000"/>
                <w:kern w:val="0"/>
                <w:sz w:val="22"/>
                <w:szCs w:val="22"/>
                <w:u w:val="none"/>
                <w:lang w:val="en-US" w:eastAsia="zh-CN" w:bidi="ar"/>
              </w:rPr>
              <w:t>17429.29</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val="0"/>
                <w:bCs/>
                <w:i w:val="0"/>
                <w:iCs w:val="0"/>
                <w:color w:val="000000"/>
                <w:kern w:val="0"/>
                <w:sz w:val="16"/>
                <w:szCs w:val="16"/>
                <w:u w:val="none"/>
                <w:lang w:val="en-US" w:eastAsia="zh-CN" w:bidi="ar"/>
              </w:rPr>
            </w:pPr>
            <w:r>
              <w:rPr>
                <w:rFonts w:hint="eastAsia" w:ascii="宋体" w:hAnsi="宋体" w:eastAsia="宋体" w:cs="宋体"/>
                <w:b w:val="0"/>
                <w:bCs/>
                <w:i w:val="0"/>
                <w:color w:val="000000"/>
                <w:kern w:val="0"/>
                <w:sz w:val="22"/>
                <w:szCs w:val="22"/>
                <w:u w:val="none"/>
                <w:lang w:val="en-US" w:eastAsia="zh-CN" w:bidi="ar"/>
              </w:rPr>
              <w:t>17429.29</w:t>
            </w:r>
          </w:p>
        </w:tc>
        <w:tc>
          <w:tcPr>
            <w:tcW w:w="111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val="0"/>
                <w:bCs/>
                <w:i w:val="0"/>
                <w:iCs w:val="0"/>
                <w:color w:val="000000"/>
                <w:kern w:val="0"/>
                <w:sz w:val="16"/>
                <w:szCs w:val="16"/>
                <w:u w:val="none"/>
                <w:lang w:val="en-US" w:eastAsia="zh-CN" w:bidi="ar"/>
              </w:rPr>
            </w:pPr>
          </w:p>
        </w:tc>
      </w:tr>
    </w:tbl>
    <w:p>
      <w:pPr>
        <w:snapToGrid w:val="0"/>
        <w:spacing w:line="300" w:lineRule="exact"/>
        <w:rPr>
          <w:rFonts w:ascii="宋体" w:hAnsi="宋体" w:eastAsia="仿宋_GB2312" w:cs="Times New Roman"/>
          <w:kern w:val="0"/>
          <w:sz w:val="18"/>
          <w:szCs w:val="18"/>
        </w:rPr>
      </w:pPr>
      <w:r>
        <w:rPr>
          <w:rFonts w:hint="eastAsia" w:ascii="宋体" w:hAnsi="宋体" w:eastAsia="仿宋_GB2312" w:cs="Times New Roman"/>
          <w:kern w:val="0"/>
          <w:sz w:val="18"/>
          <w:szCs w:val="18"/>
        </w:rPr>
        <w:t>注：1.本表反映部门本年度一般公共预算财政拨款和政府性基金预算财政拨款的总收支和年末结转结余情况。</w:t>
      </w:r>
    </w:p>
    <w:p>
      <w:pPr>
        <w:snapToGrid w:val="0"/>
        <w:spacing w:line="300" w:lineRule="exact"/>
        <w:ind w:firstLine="352" w:firstLineChars="200"/>
        <w:rPr>
          <w:rFonts w:ascii="宋体" w:hAnsi="宋体" w:eastAsia="仿宋_GB2312" w:cs="Times New Roman"/>
          <w:kern w:val="0"/>
          <w:sz w:val="18"/>
          <w:szCs w:val="18"/>
        </w:rPr>
      </w:pPr>
      <w:bookmarkStart w:id="37" w:name="_Toc424398408"/>
      <w:r>
        <w:rPr>
          <w:rFonts w:hint="eastAsia" w:ascii="宋体" w:hAnsi="宋体" w:eastAsia="仿宋_GB2312" w:cs="Times New Roman"/>
          <w:kern w:val="0"/>
          <w:sz w:val="18"/>
          <w:szCs w:val="18"/>
        </w:rPr>
        <w:t>2.本套报表金额单位转换时可能存在尾数误差。</w:t>
      </w:r>
    </w:p>
    <w:p>
      <w:pPr>
        <w:keepNext w:val="0"/>
        <w:keepLines w:val="0"/>
        <w:pageBreakBefore w:val="0"/>
        <w:widowControl/>
        <w:kinsoku/>
        <w:wordWrap/>
        <w:overflowPunct/>
        <w:topLinePunct w:val="0"/>
        <w:autoSpaceDE/>
        <w:autoSpaceDN/>
        <w:bidi w:val="0"/>
        <w:adjustRightInd/>
        <w:snapToGrid w:val="0"/>
        <w:spacing w:before="289" w:beforeLines="50" w:after="289" w:afterLines="50"/>
        <w:jc w:val="center"/>
        <w:textAlignment w:val="auto"/>
        <w:outlineLvl w:val="1"/>
        <w:rPr>
          <w:rFonts w:ascii="黑体" w:hAnsi="宋体" w:eastAsia="黑体" w:cs="宋体"/>
          <w:b w:val="0"/>
          <w:bCs/>
          <w:color w:val="000000"/>
          <w:kern w:val="0"/>
          <w:sz w:val="32"/>
          <w:szCs w:val="32"/>
        </w:rPr>
      </w:pPr>
      <w:bookmarkStart w:id="38" w:name="_Toc9519567_WPSOffice_Level2"/>
      <w:r>
        <w:rPr>
          <w:rFonts w:hint="eastAsia" w:ascii="黑体" w:hAnsi="宋体" w:eastAsia="黑体" w:cs="宋体"/>
          <w:b w:val="0"/>
          <w:bCs/>
          <w:color w:val="000000"/>
          <w:kern w:val="0"/>
          <w:sz w:val="32"/>
          <w:szCs w:val="32"/>
        </w:rPr>
        <w:t>五、一般公共预算财政拨款支出决算表</w:t>
      </w:r>
      <w:bookmarkEnd w:id="37"/>
      <w:bookmarkEnd w:id="38"/>
    </w:p>
    <w:p>
      <w:pPr>
        <w:wordWrap w:val="0"/>
        <w:snapToGrid w:val="0"/>
        <w:spacing w:line="300" w:lineRule="exact"/>
        <w:jc w:val="right"/>
        <w:rPr>
          <w:rFonts w:ascii="宋体" w:hAnsi="宋体" w:eastAsia="仿宋_GB2312" w:cs="Times New Roman"/>
          <w:kern w:val="0"/>
          <w:sz w:val="18"/>
        </w:rPr>
      </w:pPr>
      <w:r>
        <w:rPr>
          <w:rFonts w:hint="eastAsia" w:ascii="宋体" w:hAnsi="宋体" w:eastAsia="仿宋_GB2312" w:cs="Times New Roman"/>
          <w:kern w:val="0"/>
          <w:sz w:val="18"/>
          <w:lang w:val="en-US" w:eastAsia="zh-CN"/>
        </w:rPr>
        <w:t xml:space="preserve">    </w:t>
      </w:r>
      <w:r>
        <w:rPr>
          <w:rFonts w:hint="eastAsia" w:ascii="宋体" w:hAnsi="宋体" w:eastAsia="仿宋_GB2312" w:cs="Times New Roman"/>
          <w:kern w:val="0"/>
          <w:sz w:val="18"/>
        </w:rPr>
        <w:t>公开05表</w:t>
      </w:r>
    </w:p>
    <w:p>
      <w:pPr>
        <w:wordWrap w:val="0"/>
        <w:snapToGrid w:val="0"/>
        <w:spacing w:line="300" w:lineRule="exact"/>
        <w:jc w:val="right"/>
        <w:rPr>
          <w:rFonts w:ascii="Calibri" w:hAnsi="Calibri" w:eastAsia="仿宋_GB2312" w:cs="Times New Roman"/>
          <w:kern w:val="0"/>
          <w:sz w:val="32"/>
        </w:rPr>
      </w:pPr>
      <w:r>
        <w:rPr>
          <w:rFonts w:hint="eastAsia" w:ascii="宋体" w:hAnsi="宋体" w:eastAsia="仿宋_GB2312" w:cs="Times New Roman"/>
          <w:kern w:val="0"/>
          <w:sz w:val="18"/>
          <w:lang w:val="en-US" w:eastAsia="zh-CN"/>
        </w:rPr>
        <w:t xml:space="preserve">    </w:t>
      </w:r>
      <w:r>
        <w:rPr>
          <w:rFonts w:hint="eastAsia" w:ascii="宋体" w:hAnsi="宋体" w:eastAsia="仿宋_GB2312" w:cs="Times New Roman"/>
          <w:kern w:val="0"/>
          <w:sz w:val="18"/>
        </w:rPr>
        <w:t>金额单位：万元</w:t>
      </w:r>
    </w:p>
    <w:tbl>
      <w:tblPr>
        <w:tblStyle w:val="12"/>
        <w:tblpPr w:leftFromText="180" w:rightFromText="180" w:vertAnchor="text" w:horzAnchor="page" w:tblpX="1642" w:tblpY="41"/>
        <w:tblOverlap w:val="never"/>
        <w:tblW w:w="88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83"/>
        <w:gridCol w:w="3625"/>
        <w:gridCol w:w="1314"/>
        <w:gridCol w:w="1314"/>
        <w:gridCol w:w="13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4908"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项目</w:t>
            </w:r>
          </w:p>
        </w:tc>
        <w:tc>
          <w:tcPr>
            <w:tcW w:w="3942" w:type="dxa"/>
            <w:gridSpan w:val="3"/>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4"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功能分类科目编码</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科目名称</w:t>
            </w:r>
          </w:p>
        </w:tc>
        <w:tc>
          <w:tcPr>
            <w:tcW w:w="13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小计</w:t>
            </w:r>
          </w:p>
        </w:tc>
        <w:tc>
          <w:tcPr>
            <w:tcW w:w="13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基本支出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4908"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栏次</w:t>
            </w:r>
          </w:p>
        </w:tc>
        <w:tc>
          <w:tcPr>
            <w:tcW w:w="13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1</w:t>
            </w:r>
          </w:p>
        </w:tc>
        <w:tc>
          <w:tcPr>
            <w:tcW w:w="13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w:t>
            </w:r>
          </w:p>
        </w:tc>
        <w:tc>
          <w:tcPr>
            <w:tcW w:w="13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4908"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合计</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17,428.89</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4,789.74</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12,639.15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208</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社会保障和就业支出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753.50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753.50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20805</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行政事业单位养老支出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753.50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753.50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行政单位离退休</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373.07</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373.07</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2080505</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机关事业单位基本养老保险缴费支出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241.60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241.60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2080506</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机关事业单位职业年金缴费支出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138.83</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138.83</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210</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卫生健康支出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296.95</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296.95</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21011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行政事业单位医疗</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296.95</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296.95</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2101101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行政单位医疗</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296.95</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296.95</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214</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交通运输支出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16,078.44</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3,439.29</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12,639.15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21401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公路水路运输</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16,078.44</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3,439.29</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12,639.15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2140131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海事管理</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4,659.84</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3,439.29</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1,220.55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2140199</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其他公路水路运输支出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11,418.60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11,418.60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221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住房保障支出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300.00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300.00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22102</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住房改革支出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300.00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300.00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2210201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住房公积金</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300.00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300.00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bl>
    <w:p>
      <w:pPr>
        <w:snapToGrid w:val="0"/>
        <w:spacing w:line="300" w:lineRule="exact"/>
        <w:rPr>
          <w:rFonts w:ascii="宋体" w:hAnsi="宋体" w:eastAsia="仿宋_GB2312" w:cs="Times New Roman"/>
          <w:kern w:val="0"/>
          <w:sz w:val="18"/>
          <w:szCs w:val="18"/>
        </w:rPr>
      </w:pPr>
      <w:r>
        <w:rPr>
          <w:rFonts w:hint="eastAsia" w:ascii="宋体" w:hAnsi="宋体" w:eastAsia="仿宋_GB2312" w:cs="Times New Roman"/>
          <w:kern w:val="0"/>
          <w:sz w:val="18"/>
          <w:szCs w:val="18"/>
        </w:rPr>
        <w:t xml:space="preserve"> 注：1.本表反映部门本年度一般公共预算财政拨款支出情况。</w:t>
      </w:r>
    </w:p>
    <w:p>
      <w:pPr>
        <w:snapToGrid w:val="0"/>
        <w:spacing w:line="300" w:lineRule="exact"/>
        <w:ind w:firstLine="440" w:firstLineChars="250"/>
        <w:rPr>
          <w:rFonts w:ascii="宋体" w:hAnsi="宋体" w:eastAsia="仿宋_GB2312" w:cs="Times New Roman"/>
          <w:kern w:val="0"/>
          <w:sz w:val="18"/>
          <w:szCs w:val="18"/>
        </w:rPr>
      </w:pPr>
      <w:r>
        <w:rPr>
          <w:rFonts w:hint="eastAsia" w:ascii="宋体" w:hAnsi="宋体" w:eastAsia="仿宋_GB2312" w:cs="Times New Roman"/>
          <w:kern w:val="0"/>
          <w:sz w:val="18"/>
          <w:szCs w:val="18"/>
        </w:rPr>
        <w:t>2.本套报表金额单位转换时可能存在尾数误差。</w:t>
      </w:r>
    </w:p>
    <w:p>
      <w:pPr>
        <w:widowControl/>
        <w:jc w:val="left"/>
        <w:rPr>
          <w:rFonts w:ascii="黑体" w:hAnsi="宋体" w:eastAsia="黑体" w:cs="Times New Roman"/>
          <w:b/>
          <w:snapToGrid w:val="0"/>
          <w:color w:val="000000"/>
          <w:kern w:val="0"/>
          <w:sz w:val="32"/>
          <w:szCs w:val="32"/>
        </w:rPr>
        <w:sectPr>
          <w:pgSz w:w="11906" w:h="16838"/>
          <w:pgMar w:top="2041" w:right="1531" w:bottom="2041" w:left="153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bookmarkStart w:id="39" w:name="_Toc424398409"/>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right="0" w:rightChars="0"/>
        <w:jc w:val="center"/>
        <w:textAlignment w:val="auto"/>
        <w:outlineLvl w:val="1"/>
        <w:rPr>
          <w:b w:val="0"/>
          <w:bCs/>
        </w:rPr>
      </w:pPr>
      <w:bookmarkStart w:id="40" w:name="_Toc873745486_WPSOffice_Level2"/>
      <w:r>
        <w:rPr>
          <w:rFonts w:hint="eastAsia" w:ascii="黑体" w:hAnsi="宋体" w:eastAsia="黑体" w:cs="宋体"/>
          <w:b w:val="0"/>
          <w:bCs/>
          <w:color w:val="000000"/>
          <w:kern w:val="0"/>
          <w:sz w:val="32"/>
          <w:szCs w:val="32"/>
          <w:highlight w:val="none"/>
          <w:lang w:eastAsia="zh-CN"/>
        </w:rPr>
        <w:t>六、</w:t>
      </w:r>
      <w:r>
        <w:rPr>
          <w:rFonts w:hint="eastAsia" w:ascii="黑体" w:hAnsi="宋体" w:eastAsia="黑体" w:cs="宋体"/>
          <w:b w:val="0"/>
          <w:bCs/>
          <w:color w:val="000000"/>
          <w:kern w:val="0"/>
          <w:sz w:val="32"/>
          <w:szCs w:val="32"/>
          <w:highlight w:val="none"/>
        </w:rPr>
        <w:t>一般公共预算财政拨款基本支出决算表</w:t>
      </w:r>
      <w:bookmarkEnd w:id="39"/>
      <w:bookmarkEnd w:id="40"/>
    </w:p>
    <w:tbl>
      <w:tblPr>
        <w:tblStyle w:val="12"/>
        <w:tblW w:w="13208" w:type="dxa"/>
        <w:tblInd w:w="-2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
      <w:tblGrid>
        <w:gridCol w:w="1150"/>
        <w:gridCol w:w="2258"/>
        <w:gridCol w:w="1378"/>
        <w:gridCol w:w="950"/>
        <w:gridCol w:w="11"/>
        <w:gridCol w:w="1947"/>
        <w:gridCol w:w="54"/>
        <w:gridCol w:w="12"/>
        <w:gridCol w:w="994"/>
        <w:gridCol w:w="14"/>
        <w:gridCol w:w="12"/>
        <w:gridCol w:w="907"/>
        <w:gridCol w:w="11"/>
        <w:gridCol w:w="2202"/>
        <w:gridCol w:w="12"/>
        <w:gridCol w:w="1284"/>
        <w:gridCol w:w="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75" w:hRule="atLeast"/>
        </w:trPr>
        <w:tc>
          <w:tcPr>
            <w:tcW w:w="1150" w:type="dxa"/>
            <w:tcBorders>
              <w:top w:val="nil"/>
              <w:left w:val="nil"/>
              <w:right w:val="nil"/>
            </w:tcBorders>
            <w:shd w:val="clear" w:color="auto" w:fill="FFFFFF"/>
            <w:vAlign w:val="center"/>
          </w:tcPr>
          <w:p>
            <w:pPr>
              <w:jc w:val="left"/>
              <w:rPr>
                <w:rFonts w:hint="eastAsia" w:ascii="Tahoma" w:hAnsi="Tahoma" w:eastAsia="Tahoma" w:cs="Tahoma"/>
                <w:i w:val="0"/>
                <w:color w:val="000000"/>
                <w:sz w:val="16"/>
                <w:szCs w:val="16"/>
                <w:u w:val="none"/>
              </w:rPr>
            </w:pPr>
          </w:p>
        </w:tc>
        <w:tc>
          <w:tcPr>
            <w:tcW w:w="2258" w:type="dxa"/>
            <w:tcBorders>
              <w:top w:val="nil"/>
              <w:left w:val="nil"/>
              <w:right w:val="nil"/>
            </w:tcBorders>
            <w:shd w:val="clear" w:color="auto" w:fill="FFFFFF"/>
            <w:vAlign w:val="center"/>
          </w:tcPr>
          <w:p>
            <w:pPr>
              <w:jc w:val="left"/>
              <w:rPr>
                <w:rFonts w:hint="eastAsia" w:ascii="宋体" w:hAnsi="宋体" w:eastAsia="宋体" w:cs="宋体"/>
                <w:i w:val="0"/>
                <w:color w:val="000000"/>
                <w:sz w:val="18"/>
                <w:szCs w:val="18"/>
                <w:u w:val="none"/>
              </w:rPr>
            </w:pPr>
          </w:p>
        </w:tc>
        <w:tc>
          <w:tcPr>
            <w:tcW w:w="1378" w:type="dxa"/>
            <w:tcBorders>
              <w:top w:val="nil"/>
              <w:left w:val="nil"/>
              <w:right w:val="nil"/>
            </w:tcBorders>
            <w:shd w:val="clear" w:color="auto" w:fill="FFFFFF"/>
            <w:vAlign w:val="center"/>
          </w:tcPr>
          <w:p>
            <w:pPr>
              <w:jc w:val="left"/>
              <w:rPr>
                <w:rFonts w:hint="eastAsia" w:ascii="宋体" w:hAnsi="宋体" w:eastAsia="宋体" w:cs="宋体"/>
                <w:i w:val="0"/>
                <w:color w:val="000000"/>
                <w:sz w:val="18"/>
                <w:szCs w:val="18"/>
                <w:u w:val="none"/>
              </w:rPr>
            </w:pPr>
          </w:p>
        </w:tc>
        <w:tc>
          <w:tcPr>
            <w:tcW w:w="950" w:type="dxa"/>
            <w:tcBorders>
              <w:top w:val="nil"/>
              <w:left w:val="nil"/>
              <w:right w:val="nil"/>
            </w:tcBorders>
            <w:shd w:val="clear" w:color="auto" w:fill="FFFFFF"/>
            <w:vAlign w:val="center"/>
          </w:tcPr>
          <w:p>
            <w:pPr>
              <w:jc w:val="left"/>
              <w:rPr>
                <w:rFonts w:hint="eastAsia" w:ascii="宋体" w:hAnsi="宋体" w:eastAsia="宋体" w:cs="宋体"/>
                <w:i w:val="0"/>
                <w:color w:val="000000"/>
                <w:sz w:val="18"/>
                <w:szCs w:val="18"/>
                <w:u w:val="none"/>
              </w:rPr>
            </w:pPr>
          </w:p>
        </w:tc>
        <w:tc>
          <w:tcPr>
            <w:tcW w:w="1958" w:type="dxa"/>
            <w:gridSpan w:val="2"/>
            <w:tcBorders>
              <w:top w:val="nil"/>
              <w:left w:val="nil"/>
              <w:right w:val="nil"/>
            </w:tcBorders>
            <w:shd w:val="clear" w:color="auto" w:fill="FFFFFF"/>
            <w:vAlign w:val="center"/>
          </w:tcPr>
          <w:p>
            <w:pPr>
              <w:jc w:val="left"/>
              <w:rPr>
                <w:rFonts w:hint="eastAsia" w:ascii="宋体" w:hAnsi="宋体" w:eastAsia="宋体" w:cs="宋体"/>
                <w:i w:val="0"/>
                <w:color w:val="000000"/>
                <w:sz w:val="18"/>
                <w:szCs w:val="18"/>
                <w:u w:val="none"/>
              </w:rPr>
            </w:pPr>
          </w:p>
        </w:tc>
        <w:tc>
          <w:tcPr>
            <w:tcW w:w="1060" w:type="dxa"/>
            <w:gridSpan w:val="3"/>
            <w:tcBorders>
              <w:top w:val="nil"/>
              <w:left w:val="nil"/>
              <w:right w:val="nil"/>
            </w:tcBorders>
            <w:shd w:val="clear" w:color="auto" w:fill="FFFFFF"/>
            <w:vAlign w:val="center"/>
          </w:tcPr>
          <w:p>
            <w:pPr>
              <w:jc w:val="left"/>
              <w:rPr>
                <w:rFonts w:hint="eastAsia" w:ascii="宋体" w:hAnsi="宋体" w:eastAsia="宋体" w:cs="宋体"/>
                <w:i w:val="0"/>
                <w:color w:val="000000"/>
                <w:sz w:val="18"/>
                <w:szCs w:val="18"/>
                <w:u w:val="none"/>
              </w:rPr>
            </w:pPr>
          </w:p>
        </w:tc>
        <w:tc>
          <w:tcPr>
            <w:tcW w:w="944" w:type="dxa"/>
            <w:gridSpan w:val="4"/>
            <w:tcBorders>
              <w:top w:val="nil"/>
              <w:left w:val="nil"/>
              <w:right w:val="nil"/>
            </w:tcBorders>
            <w:shd w:val="clear" w:color="auto" w:fill="FFFFFF"/>
            <w:vAlign w:val="center"/>
          </w:tcPr>
          <w:p>
            <w:pPr>
              <w:jc w:val="left"/>
              <w:rPr>
                <w:rFonts w:hint="eastAsia" w:ascii="宋体" w:hAnsi="宋体" w:eastAsia="宋体" w:cs="宋体"/>
                <w:i w:val="0"/>
                <w:color w:val="000000"/>
                <w:sz w:val="18"/>
                <w:szCs w:val="18"/>
                <w:u w:val="none"/>
              </w:rPr>
            </w:pPr>
          </w:p>
        </w:tc>
        <w:tc>
          <w:tcPr>
            <w:tcW w:w="3510" w:type="dxa"/>
            <w:gridSpan w:val="4"/>
            <w:tcBorders>
              <w:top w:val="nil"/>
              <w:left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公开06表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340" w:hRule="atLeast"/>
        </w:trPr>
        <w:tc>
          <w:tcPr>
            <w:tcW w:w="4786"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color w:val="000000"/>
                <w:kern w:val="0"/>
                <w:sz w:val="20"/>
                <w:szCs w:val="20"/>
                <w:lang w:val="en-US" w:eastAsia="zh-CN"/>
              </w:rPr>
              <w:t>人员经费</w:t>
            </w:r>
          </w:p>
        </w:tc>
        <w:tc>
          <w:tcPr>
            <w:tcW w:w="8422" w:type="dxa"/>
            <w:gridSpan w:val="14"/>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color w:val="000000"/>
                <w:kern w:val="0"/>
                <w:sz w:val="20"/>
                <w:szCs w:val="20"/>
                <w:lang w:val="en-US" w:eastAsia="zh-CN"/>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40" w:hRule="atLeast"/>
        </w:trPr>
        <w:tc>
          <w:tcPr>
            <w:tcW w:w="115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25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37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决算数</w:t>
            </w:r>
          </w:p>
        </w:tc>
        <w:tc>
          <w:tcPr>
            <w:tcW w:w="95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012" w:type="dxa"/>
            <w:gridSpan w:val="3"/>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006"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决算数</w:t>
            </w:r>
          </w:p>
        </w:tc>
        <w:tc>
          <w:tcPr>
            <w:tcW w:w="944" w:type="dxa"/>
            <w:gridSpan w:val="4"/>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214"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296"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00" w:hRule="atLeast"/>
        </w:trPr>
        <w:tc>
          <w:tcPr>
            <w:tcW w:w="1150" w:type="dxa"/>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2258" w:type="dxa"/>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1378" w:type="dxa"/>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950" w:type="dxa"/>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2012" w:type="dxa"/>
            <w:gridSpan w:val="3"/>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1006" w:type="dxa"/>
            <w:gridSpan w:val="2"/>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944" w:type="dxa"/>
            <w:gridSpan w:val="4"/>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2214" w:type="dxa"/>
            <w:gridSpan w:val="2"/>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1296" w:type="dxa"/>
            <w:gridSpan w:val="2"/>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301</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工资福利支出</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2,961.67</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302</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商品和服务支出</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1,446.00</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307</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债务利息及费用支出</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30101</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基本工资</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926.62</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30201</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办公费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30701</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国内债务付息</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30102</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津贴补贴</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1,051.01</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30202</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印刷费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30702</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国外债务付息</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30103</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奖金</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30203</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咨询费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310</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资本性支出</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30106</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伙食补助费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30204</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手续费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31001</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房屋建筑物购建</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30107</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绩效工资</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30205</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水费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8.24</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31002</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办公设备购置</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30108</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机关事业单位基本养老保险缴费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241.60</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30206</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电费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102.37</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31003</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专用设备购置</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30109</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职业年金缴费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30207</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邮电费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86.64</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31005</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基础设施建设</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30110</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职工基本医疗保险缴费</w:t>
            </w:r>
          </w:p>
        </w:tc>
        <w:tc>
          <w:tcPr>
            <w:tcW w:w="13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131.51</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30208</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取暖费</w:t>
            </w:r>
          </w:p>
        </w:tc>
        <w:tc>
          <w:tcPr>
            <w:tcW w:w="100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222.08</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31006</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大型修缮</w:t>
            </w:r>
          </w:p>
        </w:tc>
        <w:tc>
          <w:tcPr>
            <w:tcW w:w="129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gridAfter w:val="1"/>
          <w:wAfter w:w="12" w:type="dxa"/>
          <w:trHeight w:val="601" w:hRule="atLeast"/>
        </w:trPr>
        <w:tc>
          <w:tcPr>
            <w:tcW w:w="4786"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color w:val="000000"/>
                <w:kern w:val="0"/>
                <w:sz w:val="20"/>
                <w:szCs w:val="20"/>
                <w:lang w:val="en-US" w:eastAsia="zh-CN"/>
              </w:rPr>
              <w:t>人员经费</w:t>
            </w:r>
          </w:p>
        </w:tc>
        <w:tc>
          <w:tcPr>
            <w:tcW w:w="8410" w:type="dxa"/>
            <w:gridSpan w:val="1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color w:val="000000"/>
                <w:kern w:val="0"/>
                <w:sz w:val="20"/>
                <w:szCs w:val="20"/>
                <w:lang w:val="en-US" w:eastAsia="zh-CN"/>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2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3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决算数</w:t>
            </w:r>
          </w:p>
        </w:tc>
        <w:tc>
          <w:tcPr>
            <w:tcW w:w="961"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013"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00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决算数</w:t>
            </w:r>
          </w:p>
        </w:tc>
        <w:tc>
          <w:tcPr>
            <w:tcW w:w="930"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21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2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30111</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公务员医疗补助缴费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530.20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30209</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物业管理费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67.65</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31007</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信息网络及软件购置更新</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30112</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其他社会保障缴费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33.62</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30211</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差旅费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204.22</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31008</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物资储备</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30113</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住房公积金</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30212</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因公出国（境）费用</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17.62</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31009</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土地补偿</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30114</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医疗费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30213</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维修（护）费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21.23</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31010</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安置补助</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30199</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其他工资福利支出</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30214</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租赁费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31011</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地上附着物和青苗补偿</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303</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对个人和家庭的补助</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372.07</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30215</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会议费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31012</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拆迁补偿</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30301</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离休费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30216</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培训费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61.95</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31013</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公务用车购置</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30302</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退休费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359.09</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30217</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公务接待费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31019</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其他交通工具购置</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30303</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退职（役）费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30218</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专用材料费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31021</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文物和陈列品购置</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gridAfter w:val="1"/>
          <w:wAfter w:w="12" w:type="dxa"/>
          <w:trHeight w:val="90"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30304</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抚恤金</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30224</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被装购置费</w:t>
            </w:r>
          </w:p>
        </w:tc>
        <w:tc>
          <w:tcPr>
            <w:tcW w:w="1008"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31022</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无形资产购置</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gridAfter w:val="1"/>
          <w:wAfter w:w="12" w:type="dxa"/>
          <w:trHeight w:val="566"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30305</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生活补助</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30225</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专用燃料费</w:t>
            </w:r>
          </w:p>
        </w:tc>
        <w:tc>
          <w:tcPr>
            <w:tcW w:w="1008"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31099</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其他资本性支出</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4786"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color w:val="000000"/>
                <w:kern w:val="0"/>
                <w:sz w:val="20"/>
                <w:szCs w:val="20"/>
                <w:lang w:val="en-US" w:eastAsia="zh-CN"/>
              </w:rPr>
              <w:t>人员经费</w:t>
            </w:r>
          </w:p>
        </w:tc>
        <w:tc>
          <w:tcPr>
            <w:tcW w:w="8422" w:type="dxa"/>
            <w:gridSpan w:val="14"/>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color w:val="000000"/>
                <w:kern w:val="0"/>
                <w:sz w:val="20"/>
                <w:szCs w:val="20"/>
                <w:lang w:val="en-US" w:eastAsia="zh-CN"/>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2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3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决算数</w:t>
            </w:r>
          </w:p>
        </w:tc>
        <w:tc>
          <w:tcPr>
            <w:tcW w:w="961"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013"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020"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决算数</w:t>
            </w:r>
          </w:p>
        </w:tc>
        <w:tc>
          <w:tcPr>
            <w:tcW w:w="91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2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308"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30306</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救济费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30226</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劳务费</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19.34</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399</w:t>
            </w: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其他支出</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30307</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医疗费补助</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30227</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委托业务费</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93.53</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39907</w:t>
            </w: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国家赔偿费用支出</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30308</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助学金</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30228</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工会经费</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39908</w:t>
            </w: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对民间非营利组织和群众性自治组织补贴</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30309</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奖励金</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30229</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福利费</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102.76</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39909</w:t>
            </w: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经常性赠与</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30310</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个人农业生产补贴</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30231</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公务用车运行维护费</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39910</w:t>
            </w: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资本性赠与</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30311</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代缴社会保险费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30239</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其他交通费用</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165.16</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39999</w:t>
            </w: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其他支出</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30399</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其他对个人和家庭的补助</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30299</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其他商品和服务支出</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147.85</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p>
        </w:tc>
        <w:tc>
          <w:tcPr>
            <w:tcW w:w="1308"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103" w:rightChars="50" w:firstLine="0" w:firstLineChars="0"/>
              <w:jc w:val="right"/>
              <w:outlineLvl w:val="9"/>
              <w:rPr>
                <w:rFonts w:hint="eastAsia" w:ascii="宋体" w:hAnsi="宋体" w:eastAsia="宋体" w:cs="宋体"/>
                <w:i w:val="0"/>
                <w:color w:val="000000"/>
                <w:sz w:val="22"/>
                <w:szCs w:val="22"/>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340" w:hRule="atLeast"/>
        </w:trPr>
        <w:tc>
          <w:tcPr>
            <w:tcW w:w="340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仿宋_GB2312" w:hAnsi="仿宋_GB2312" w:eastAsia="仿宋_GB2312" w:cs="仿宋_GB2312"/>
                <w:b/>
                <w:bCs/>
                <w:i w:val="0"/>
                <w:color w:val="000000"/>
                <w:kern w:val="0"/>
                <w:sz w:val="20"/>
                <w:szCs w:val="20"/>
                <w:u w:val="none"/>
                <w:lang w:val="en-US" w:eastAsia="zh-CN" w:bidi="ar"/>
              </w:rPr>
              <w:t>人员经费合计</w:t>
            </w:r>
          </w:p>
        </w:tc>
        <w:tc>
          <w:tcPr>
            <w:tcW w:w="13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103" w:rightChars="50" w:firstLine="0" w:firstLineChars="0"/>
              <w:jc w:val="righ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3333.74</w:t>
            </w:r>
          </w:p>
        </w:tc>
        <w:tc>
          <w:tcPr>
            <w:tcW w:w="7114" w:type="dxa"/>
            <w:gridSpan w:val="11"/>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仿宋_GB2312" w:hAnsi="仿宋_GB2312" w:eastAsia="仿宋_GB2312" w:cs="仿宋_GB2312"/>
                <w:b/>
                <w:bCs/>
                <w:i w:val="0"/>
                <w:color w:val="000000"/>
                <w:kern w:val="0"/>
                <w:sz w:val="20"/>
                <w:szCs w:val="20"/>
                <w:u w:val="none"/>
                <w:lang w:val="en-US" w:eastAsia="zh-CN" w:bidi="ar"/>
              </w:rPr>
              <w:t>公用经费合计</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103" w:rightChars="50" w:firstLine="0" w:firstLineChars="0"/>
              <w:jc w:val="right"/>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1456.00</w:t>
            </w:r>
          </w:p>
        </w:tc>
      </w:tr>
    </w:tbl>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auto"/>
        <w:rPr>
          <w:rFonts w:ascii="宋体" w:hAnsi="宋体" w:eastAsia="仿宋_GB2312" w:cs="Times New Roman"/>
          <w:kern w:val="0"/>
          <w:sz w:val="18"/>
          <w:szCs w:val="18"/>
        </w:rPr>
      </w:pPr>
      <w:r>
        <w:rPr>
          <w:rFonts w:hint="eastAsia" w:ascii="宋体" w:hAnsi="宋体" w:eastAsia="仿宋_GB2312" w:cs="Times New Roman"/>
          <w:kern w:val="0"/>
          <w:sz w:val="18"/>
          <w:szCs w:val="18"/>
        </w:rPr>
        <w:t>注：1.本表反映部门本年度一般公共预算财政拨款基本支出明细情况。</w:t>
      </w:r>
    </w:p>
    <w:p>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firstLine="352" w:firstLineChars="200"/>
        <w:jc w:val="left"/>
        <w:textAlignment w:val="auto"/>
        <w:outlineLvl w:val="1"/>
        <w:rPr>
          <w:rFonts w:ascii="宋体" w:hAnsi="宋体" w:eastAsia="仿宋_GB2312" w:cs="宋体"/>
          <w:kern w:val="0"/>
          <w:sz w:val="18"/>
          <w:szCs w:val="18"/>
        </w:rPr>
      </w:pPr>
      <w:r>
        <w:rPr>
          <w:rFonts w:hint="eastAsia" w:ascii="宋体" w:hAnsi="宋体" w:eastAsia="仿宋_GB2312" w:cs="宋体"/>
          <w:kern w:val="0"/>
          <w:sz w:val="18"/>
          <w:szCs w:val="18"/>
        </w:rPr>
        <w:t>2.本套报表金额单位转换时可能存在尾数误差。</w:t>
      </w:r>
    </w:p>
    <w:p>
      <w:pPr>
        <w:widowControl/>
        <w:snapToGrid w:val="0"/>
        <w:spacing w:before="289" w:beforeLines="50" w:after="289" w:afterLines="50" w:line="360" w:lineRule="auto"/>
        <w:outlineLvl w:val="1"/>
        <w:rPr>
          <w:rFonts w:ascii="黑体" w:hAnsi="宋体" w:eastAsia="黑体" w:cs="宋体"/>
          <w:b/>
          <w:color w:val="000000"/>
          <w:kern w:val="0"/>
          <w:sz w:val="30"/>
          <w:szCs w:val="30"/>
        </w:rPr>
        <w:sectPr>
          <w:pgSz w:w="16838" w:h="11906" w:orient="landscape"/>
          <w:pgMar w:top="1531" w:right="2041" w:bottom="1531"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bookmarkStart w:id="41" w:name="_Toc424398410"/>
    </w:p>
    <w:p>
      <w:pPr>
        <w:keepNext w:val="0"/>
        <w:keepLines w:val="0"/>
        <w:pageBreakBefore w:val="0"/>
        <w:widowControl/>
        <w:numPr>
          <w:ilvl w:val="0"/>
          <w:numId w:val="0"/>
        </w:numPr>
        <w:kinsoku/>
        <w:wordWrap/>
        <w:overflowPunct/>
        <w:topLinePunct w:val="0"/>
        <w:autoSpaceDE/>
        <w:autoSpaceDN/>
        <w:bidi w:val="0"/>
        <w:adjustRightInd/>
        <w:snapToGrid w:val="0"/>
        <w:spacing w:before="289" w:beforeLines="50" w:after="289" w:afterLines="50"/>
        <w:ind w:leftChars="0"/>
        <w:jc w:val="center"/>
        <w:textAlignment w:val="auto"/>
        <w:outlineLvl w:val="1"/>
        <w:rPr>
          <w:rFonts w:hint="eastAsia" w:ascii="黑体" w:hAnsi="宋体" w:eastAsia="黑体" w:cs="宋体"/>
          <w:b w:val="0"/>
          <w:bCs/>
          <w:color w:val="000000"/>
          <w:kern w:val="0"/>
          <w:sz w:val="32"/>
          <w:szCs w:val="32"/>
        </w:rPr>
      </w:pPr>
      <w:bookmarkStart w:id="42" w:name="_Toc1440845048_WPSOffice_Level2"/>
      <w:r>
        <w:rPr>
          <w:rFonts w:hint="eastAsia" w:ascii="黑体" w:hAnsi="宋体" w:eastAsia="黑体" w:cs="宋体"/>
          <w:b w:val="0"/>
          <w:bCs/>
          <w:color w:val="000000"/>
          <w:kern w:val="0"/>
          <w:sz w:val="32"/>
          <w:szCs w:val="32"/>
          <w:lang w:eastAsia="zh-CN"/>
        </w:rPr>
        <w:t>七、</w:t>
      </w:r>
      <w:r>
        <w:rPr>
          <w:rFonts w:hint="eastAsia" w:ascii="黑体" w:hAnsi="宋体" w:eastAsia="黑体" w:cs="宋体"/>
          <w:b w:val="0"/>
          <w:bCs/>
          <w:color w:val="000000"/>
          <w:kern w:val="0"/>
          <w:sz w:val="32"/>
          <w:szCs w:val="32"/>
        </w:rPr>
        <w:t>政府性基金预算财政拨款收入支出决算表</w:t>
      </w:r>
      <w:bookmarkEnd w:id="42"/>
    </w:p>
    <w:p>
      <w:pPr>
        <w:rPr>
          <w:rFonts w:hint="eastAsia"/>
        </w:rPr>
      </w:pPr>
    </w:p>
    <w:tbl>
      <w:tblPr>
        <w:tblStyle w:val="12"/>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0"/>
        <w:gridCol w:w="947"/>
        <w:gridCol w:w="947"/>
        <w:gridCol w:w="2095"/>
        <w:gridCol w:w="1736"/>
        <w:gridCol w:w="1396"/>
        <w:gridCol w:w="947"/>
        <w:gridCol w:w="1130"/>
        <w:gridCol w:w="874"/>
        <w:gridCol w:w="2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40" w:type="dxa"/>
            <w:tcBorders>
              <w:bottom w:val="single" w:color="auto" w:sz="4" w:space="0"/>
            </w:tcBorders>
            <w:shd w:val="clear" w:color="auto" w:fill="FFFFFF"/>
            <w:vAlign w:val="center"/>
          </w:tcPr>
          <w:p>
            <w:pPr>
              <w:jc w:val="left"/>
              <w:rPr>
                <w:rFonts w:hint="eastAsia" w:ascii="Tahoma" w:hAnsi="Tahoma" w:eastAsia="Tahoma" w:cs="Tahoma"/>
                <w:i w:val="0"/>
                <w:color w:val="000000"/>
                <w:sz w:val="16"/>
                <w:szCs w:val="16"/>
                <w:u w:val="none"/>
              </w:rPr>
            </w:pPr>
          </w:p>
        </w:tc>
        <w:tc>
          <w:tcPr>
            <w:tcW w:w="947"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947"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2095"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736"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396"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947"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130"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3248" w:type="dxa"/>
            <w:gridSpan w:val="2"/>
            <w:tcBorders>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公开07表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3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项    目</w:t>
            </w:r>
          </w:p>
        </w:tc>
        <w:tc>
          <w:tcPr>
            <w:tcW w:w="17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年初结转和结余</w:t>
            </w:r>
          </w:p>
        </w:tc>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本年收入</w:t>
            </w: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本年支出</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3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科目代码</w:t>
            </w:r>
          </w:p>
        </w:tc>
        <w:tc>
          <w:tcPr>
            <w:tcW w:w="2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科目名称</w:t>
            </w:r>
          </w:p>
        </w:tc>
        <w:tc>
          <w:tcPr>
            <w:tcW w:w="1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小计</w:t>
            </w:r>
          </w:p>
        </w:tc>
        <w:tc>
          <w:tcPr>
            <w:tcW w:w="11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基本支出</w:t>
            </w:r>
          </w:p>
        </w:tc>
        <w:tc>
          <w:tcPr>
            <w:tcW w:w="8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项目支出</w:t>
            </w:r>
          </w:p>
        </w:tc>
        <w:tc>
          <w:tcPr>
            <w:tcW w:w="23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3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8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3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8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3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栏次</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1</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2</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3</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4</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5</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3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合计</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2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786" w:type="dxa"/>
            <w:gridSpan w:val="10"/>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注：</w:t>
            </w:r>
            <w:r>
              <w:rPr>
                <w:rFonts w:hint="eastAsia" w:ascii="宋体" w:hAnsi="宋体" w:eastAsia="仿宋_GB2312" w:cs="Times New Roman"/>
                <w:kern w:val="0"/>
                <w:sz w:val="18"/>
                <w:szCs w:val="18"/>
              </w:rPr>
              <w:t>1.</w:t>
            </w:r>
            <w:r>
              <w:rPr>
                <w:rFonts w:hint="eastAsia" w:ascii="仿宋_GB2312" w:hAnsi="仿宋_GB2312" w:eastAsia="仿宋_GB2312" w:cs="仿宋_GB2312"/>
                <w:sz w:val="18"/>
                <w:szCs w:val="18"/>
                <w:lang w:val="en-US" w:eastAsia="zh-CN"/>
              </w:rPr>
              <w:t>本表反映部门本年度政府性基金预算财政拨款收入、支出及结转和结余情况。</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eastAsia="仿宋_GB2312"/>
                <w:lang w:val="en-US" w:eastAsia="zh-CN"/>
              </w:rPr>
            </w:pPr>
            <w:r>
              <w:rPr>
                <w:rFonts w:hint="eastAsia" w:ascii="仿宋_GB2312" w:hAnsi="仿宋_GB2312" w:eastAsia="仿宋_GB2312" w:cs="仿宋_GB2312"/>
                <w:sz w:val="18"/>
                <w:szCs w:val="18"/>
                <w:lang w:val="en-US" w:eastAsia="zh-CN"/>
              </w:rPr>
              <w:t xml:space="preserve">    </w:t>
            </w:r>
            <w:r>
              <w:rPr>
                <w:rFonts w:hint="eastAsia" w:ascii="宋体" w:hAnsi="宋体" w:eastAsia="仿宋_GB2312" w:cs="宋体"/>
                <w:kern w:val="0"/>
                <w:sz w:val="18"/>
                <w:szCs w:val="18"/>
              </w:rPr>
              <w:t>2.</w:t>
            </w:r>
            <w:r>
              <w:rPr>
                <w:rFonts w:hint="eastAsia" w:ascii="仿宋_GB2312" w:hAnsi="仿宋_GB2312" w:eastAsia="仿宋_GB2312" w:cs="仿宋_GB2312"/>
                <w:kern w:val="2"/>
                <w:sz w:val="18"/>
                <w:szCs w:val="18"/>
                <w:lang w:val="en-US" w:eastAsia="zh-CN" w:bidi="ar-SA"/>
              </w:rPr>
              <w:t>河北海事局2023年未安排政府性基金预算。</w:t>
            </w:r>
          </w:p>
        </w:tc>
      </w:tr>
    </w:tbl>
    <w:p>
      <w:pPr>
        <w:pStyle w:val="2"/>
        <w:rPr>
          <w:rFonts w:hint="eastAsia"/>
        </w:rPr>
        <w:sectPr>
          <w:pgSz w:w="16838" w:h="11906" w:orient="landscape"/>
          <w:pgMar w:top="1531" w:right="2041" w:bottom="1531"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numPr>
          <w:ilvl w:val="0"/>
          <w:numId w:val="0"/>
        </w:numPr>
        <w:kinsoku/>
        <w:wordWrap/>
        <w:overflowPunct/>
        <w:topLinePunct w:val="0"/>
        <w:autoSpaceDE/>
        <w:autoSpaceDN/>
        <w:bidi w:val="0"/>
        <w:adjustRightInd/>
        <w:snapToGrid w:val="0"/>
        <w:spacing w:before="289" w:beforeLines="50" w:after="289" w:afterLines="50"/>
        <w:ind w:leftChars="0"/>
        <w:jc w:val="center"/>
        <w:textAlignment w:val="auto"/>
        <w:outlineLvl w:val="1"/>
        <w:rPr>
          <w:rFonts w:hint="eastAsia" w:ascii="黑体" w:hAnsi="宋体" w:eastAsia="黑体" w:cs="宋体"/>
          <w:b w:val="0"/>
          <w:bCs/>
          <w:color w:val="000000"/>
          <w:kern w:val="0"/>
          <w:sz w:val="32"/>
          <w:szCs w:val="32"/>
          <w:lang w:eastAsia="zh-CN"/>
        </w:rPr>
      </w:pPr>
      <w:bookmarkStart w:id="43" w:name="_Toc1146751018_WPSOffice_Level2"/>
      <w:r>
        <w:rPr>
          <w:rFonts w:hint="eastAsia" w:ascii="黑体" w:hAnsi="宋体" w:eastAsia="黑体" w:cs="宋体"/>
          <w:b w:val="0"/>
          <w:bCs/>
          <w:color w:val="000000"/>
          <w:kern w:val="0"/>
          <w:sz w:val="32"/>
          <w:szCs w:val="32"/>
          <w:lang w:eastAsia="zh-CN"/>
        </w:rPr>
        <w:t>八、国有资本经营预算财政拨款支出决算表</w:t>
      </w:r>
      <w:bookmarkEnd w:id="43"/>
    </w:p>
    <w:p>
      <w:pPr>
        <w:pStyle w:val="2"/>
        <w:rPr>
          <w:rFonts w:hint="eastAsia" w:ascii="黑体" w:hAnsi="宋体" w:eastAsia="黑体" w:cs="宋体"/>
          <w:b/>
          <w:color w:val="000000"/>
          <w:kern w:val="0"/>
          <w:sz w:val="32"/>
          <w:szCs w:val="32"/>
          <w:lang w:eastAsia="zh-CN"/>
        </w:rPr>
      </w:pPr>
    </w:p>
    <w:tbl>
      <w:tblPr>
        <w:tblStyle w:val="12"/>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8"/>
        <w:gridCol w:w="1138"/>
        <w:gridCol w:w="1138"/>
        <w:gridCol w:w="3047"/>
        <w:gridCol w:w="3148"/>
        <w:gridCol w:w="1"/>
        <w:gridCol w:w="1933"/>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08" w:type="dxa"/>
            <w:tcBorders>
              <w:bottom w:val="single" w:color="auto" w:sz="8" w:space="0"/>
            </w:tcBorders>
            <w:shd w:val="clear" w:color="auto" w:fill="auto"/>
            <w:vAlign w:val="center"/>
          </w:tcPr>
          <w:p>
            <w:pPr>
              <w:jc w:val="left"/>
              <w:rPr>
                <w:rFonts w:hint="eastAsia" w:ascii="Tahoma" w:hAnsi="Tahoma" w:eastAsia="Tahoma" w:cs="Tahoma"/>
                <w:i w:val="0"/>
                <w:color w:val="000000"/>
                <w:sz w:val="16"/>
                <w:szCs w:val="16"/>
                <w:u w:val="none"/>
              </w:rPr>
            </w:pPr>
          </w:p>
        </w:tc>
        <w:tc>
          <w:tcPr>
            <w:tcW w:w="1138" w:type="dxa"/>
            <w:tcBorders>
              <w:bottom w:val="single" w:color="auto" w:sz="8"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8" w:type="dxa"/>
            <w:tcBorders>
              <w:bottom w:val="single" w:color="auto" w:sz="8"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7" w:type="dxa"/>
            <w:tcBorders>
              <w:bottom w:val="single" w:color="auto" w:sz="8"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49" w:type="dxa"/>
            <w:gridSpan w:val="2"/>
            <w:tcBorders>
              <w:bottom w:val="single" w:color="auto" w:sz="8"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33" w:type="dxa"/>
            <w:tcBorders>
              <w:bottom w:val="single" w:color="auto" w:sz="8"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73" w:type="dxa"/>
            <w:tcBorders>
              <w:bottom w:val="single" w:color="auto" w:sz="8"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公开08表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57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项    目</w:t>
            </w:r>
          </w:p>
        </w:tc>
        <w:tc>
          <w:tcPr>
            <w:tcW w:w="7055"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84"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科目代码</w:t>
            </w:r>
          </w:p>
        </w:tc>
        <w:tc>
          <w:tcPr>
            <w:tcW w:w="304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科目名称</w:t>
            </w:r>
          </w:p>
        </w:tc>
        <w:tc>
          <w:tcPr>
            <w:tcW w:w="314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合计</w:t>
            </w:r>
          </w:p>
        </w:tc>
        <w:tc>
          <w:tcPr>
            <w:tcW w:w="1934"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基本支出</w:t>
            </w:r>
          </w:p>
        </w:tc>
        <w:tc>
          <w:tcPr>
            <w:tcW w:w="197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84"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304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314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934" w:type="dxa"/>
            <w:gridSpan w:val="2"/>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97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84"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304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314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934" w:type="dxa"/>
            <w:gridSpan w:val="2"/>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97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栏次</w:t>
            </w:r>
          </w:p>
        </w:tc>
        <w:tc>
          <w:tcPr>
            <w:tcW w:w="31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1</w:t>
            </w:r>
          </w:p>
        </w:tc>
        <w:tc>
          <w:tcPr>
            <w:tcW w:w="19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2</w:t>
            </w: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b/>
                <w:bCs/>
                <w:color w:val="000000"/>
                <w:kern w:val="0"/>
                <w:sz w:val="20"/>
                <w:szCs w:val="20"/>
                <w:lang w:val="en-US" w:eastAsia="zh-CN"/>
              </w:rPr>
              <w:t>合计</w:t>
            </w:r>
          </w:p>
        </w:tc>
        <w:tc>
          <w:tcPr>
            <w:tcW w:w="3148"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仿宋" w:hAnsi="仿宋" w:eastAsia="仿宋" w:cs="仿宋"/>
                <w:b/>
                <w:i w:val="0"/>
                <w:color w:val="000000"/>
                <w:sz w:val="20"/>
                <w:szCs w:val="20"/>
                <w:u w:val="none"/>
              </w:rPr>
            </w:pPr>
          </w:p>
        </w:tc>
        <w:tc>
          <w:tcPr>
            <w:tcW w:w="19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仿宋" w:hAnsi="仿宋" w:eastAsia="仿宋" w:cs="仿宋"/>
                <w:b/>
                <w:i w:val="0"/>
                <w:color w:val="000000"/>
                <w:sz w:val="20"/>
                <w:szCs w:val="20"/>
                <w:u w:val="none"/>
              </w:rPr>
            </w:pP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仿宋" w:hAnsi="仿宋" w:eastAsia="仿宋" w:cs="仿宋"/>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8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8"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9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786" w:type="dxa"/>
            <w:gridSpan w:val="8"/>
            <w:tcBorders>
              <w:top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ind w:left="0" w:leftChars="0" w:firstLine="0" w:firstLineChars="0"/>
              <w:jc w:val="both"/>
              <w:textAlignment w:val="center"/>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注：</w:t>
            </w:r>
            <w:r>
              <w:rPr>
                <w:rFonts w:hint="eastAsia" w:ascii="宋体" w:hAnsi="宋体" w:eastAsia="仿宋_GB2312" w:cs="Times New Roman"/>
                <w:kern w:val="0"/>
                <w:sz w:val="18"/>
                <w:szCs w:val="18"/>
              </w:rPr>
              <w:t>1.</w:t>
            </w:r>
            <w:r>
              <w:rPr>
                <w:rFonts w:hint="eastAsia" w:ascii="仿宋_GB2312" w:hAnsi="仿宋_GB2312" w:eastAsia="仿宋_GB2312" w:cs="仿宋_GB2312"/>
                <w:sz w:val="18"/>
                <w:szCs w:val="18"/>
                <w:lang w:val="en-US" w:eastAsia="zh-CN"/>
              </w:rPr>
              <w:t>本表反映部门本年度国有资本经营预算财政拨款支出情况。</w:t>
            </w:r>
          </w:p>
          <w:p>
            <w:pPr>
              <w:pStyle w:val="2"/>
              <w:keepNext w:val="0"/>
              <w:keepLines w:val="0"/>
              <w:pageBreakBefore w:val="0"/>
              <w:kinsoku/>
              <w:wordWrap/>
              <w:overflowPunct/>
              <w:topLinePunct w:val="0"/>
              <w:autoSpaceDE/>
              <w:autoSpaceDN/>
              <w:bidi w:val="0"/>
              <w:adjustRightInd/>
              <w:spacing w:after="0" w:line="300" w:lineRule="exact"/>
              <w:ind w:left="0" w:leftChars="0" w:firstLine="0" w:firstLineChars="0"/>
              <w:jc w:val="both"/>
              <w:outlineLvl w:val="9"/>
              <w:rPr>
                <w:rFonts w:hint="eastAsia" w:eastAsia="仿宋_GB2312"/>
                <w:lang w:val="en-US" w:eastAsia="zh-CN"/>
              </w:rPr>
            </w:pPr>
            <w:r>
              <w:rPr>
                <w:rFonts w:hint="eastAsia" w:ascii="仿宋_GB2312" w:hAnsi="仿宋_GB2312" w:eastAsia="仿宋_GB2312" w:cs="仿宋_GB2312"/>
                <w:sz w:val="18"/>
                <w:szCs w:val="18"/>
                <w:lang w:val="en-US" w:eastAsia="zh-CN"/>
              </w:rPr>
              <w:t xml:space="preserve">    </w:t>
            </w:r>
            <w:r>
              <w:rPr>
                <w:rFonts w:hint="eastAsia" w:ascii="宋体" w:hAnsi="宋体" w:eastAsia="仿宋_GB2312" w:cs="宋体"/>
                <w:kern w:val="0"/>
                <w:sz w:val="18"/>
                <w:szCs w:val="18"/>
              </w:rPr>
              <w:t>2.</w:t>
            </w:r>
            <w:r>
              <w:rPr>
                <w:rFonts w:hint="eastAsia" w:ascii="仿宋_GB2312" w:hAnsi="仿宋_GB2312" w:eastAsia="仿宋_GB2312" w:cs="仿宋_GB2312"/>
                <w:sz w:val="18"/>
                <w:szCs w:val="18"/>
                <w:lang w:val="en-US" w:eastAsia="zh-CN"/>
              </w:rPr>
              <w:t>河北海事局2023年未安排国有资本经营预算。</w:t>
            </w:r>
          </w:p>
        </w:tc>
      </w:tr>
    </w:tbl>
    <w:p>
      <w:pPr>
        <w:pStyle w:val="2"/>
        <w:ind w:left="0" w:leftChars="0" w:firstLine="0" w:firstLineChars="0"/>
        <w:rPr>
          <w:rFonts w:hint="eastAsia"/>
        </w:rPr>
        <w:sectPr>
          <w:pgSz w:w="16838" w:h="11906" w:orient="landscape"/>
          <w:pgMar w:top="1531" w:right="2041" w:bottom="1531"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p>
    <w:p/>
    <w:p>
      <w:pPr>
        <w:keepNext w:val="0"/>
        <w:keepLines w:val="0"/>
        <w:pageBreakBefore w:val="0"/>
        <w:widowControl/>
        <w:kinsoku/>
        <w:wordWrap/>
        <w:overflowPunct/>
        <w:topLinePunct w:val="0"/>
        <w:autoSpaceDE/>
        <w:autoSpaceDN/>
        <w:bidi w:val="0"/>
        <w:adjustRightInd/>
        <w:snapToGrid w:val="0"/>
        <w:spacing w:before="289" w:beforeLines="50" w:after="289" w:afterLines="50"/>
        <w:jc w:val="center"/>
        <w:textAlignment w:val="auto"/>
        <w:outlineLvl w:val="1"/>
        <w:rPr>
          <w:rFonts w:ascii="黑体" w:hAnsi="宋体" w:eastAsia="黑体" w:cs="宋体"/>
          <w:b w:val="0"/>
          <w:bCs/>
          <w:color w:val="000000"/>
          <w:kern w:val="0"/>
          <w:sz w:val="32"/>
          <w:szCs w:val="32"/>
        </w:rPr>
      </w:pPr>
      <w:bookmarkStart w:id="44" w:name="_Toc1065004618_WPSOffice_Level2"/>
      <w:r>
        <w:rPr>
          <w:rFonts w:hint="eastAsia" w:ascii="黑体" w:hAnsi="宋体" w:eastAsia="黑体" w:cs="宋体"/>
          <w:b w:val="0"/>
          <w:bCs/>
          <w:color w:val="000000"/>
          <w:kern w:val="0"/>
          <w:sz w:val="32"/>
          <w:szCs w:val="32"/>
          <w:lang w:eastAsia="zh-CN"/>
        </w:rPr>
        <w:t>九</w:t>
      </w:r>
      <w:r>
        <w:rPr>
          <w:rFonts w:hint="eastAsia" w:ascii="黑体" w:hAnsi="宋体" w:eastAsia="黑体" w:cs="宋体"/>
          <w:b w:val="0"/>
          <w:bCs/>
          <w:color w:val="000000"/>
          <w:kern w:val="0"/>
          <w:sz w:val="32"/>
          <w:szCs w:val="32"/>
        </w:rPr>
        <w:t>、一般公共预算财政拨款“三公”经费支出决算表</w:t>
      </w:r>
      <w:bookmarkEnd w:id="41"/>
      <w:bookmarkEnd w:id="44"/>
    </w:p>
    <w:p>
      <w:pPr>
        <w:wordWrap w:val="0"/>
        <w:snapToGrid w:val="0"/>
        <w:spacing w:line="300" w:lineRule="exact"/>
        <w:jc w:val="right"/>
        <w:rPr>
          <w:rFonts w:ascii="宋体" w:hAnsi="宋体" w:eastAsia="仿宋_GB2312" w:cs="Times New Roman"/>
          <w:kern w:val="0"/>
          <w:sz w:val="18"/>
        </w:rPr>
      </w:pPr>
      <w:r>
        <w:rPr>
          <w:rFonts w:hint="eastAsia" w:ascii="宋体" w:hAnsi="宋体" w:eastAsia="仿宋_GB2312" w:cs="Times New Roman"/>
          <w:kern w:val="0"/>
          <w:sz w:val="18"/>
        </w:rPr>
        <w:t>公开0</w:t>
      </w:r>
      <w:r>
        <w:rPr>
          <w:rFonts w:hint="eastAsia" w:ascii="宋体" w:hAnsi="宋体" w:eastAsia="仿宋_GB2312" w:cs="Times New Roman"/>
          <w:kern w:val="0"/>
          <w:sz w:val="18"/>
          <w:lang w:val="en-US" w:eastAsia="zh-CN"/>
        </w:rPr>
        <w:t>9</w:t>
      </w:r>
      <w:r>
        <w:rPr>
          <w:rFonts w:hint="eastAsia" w:ascii="宋体" w:hAnsi="宋体" w:eastAsia="仿宋_GB2312" w:cs="Times New Roman"/>
          <w:kern w:val="0"/>
          <w:sz w:val="18"/>
        </w:rPr>
        <w:t>表</w:t>
      </w:r>
    </w:p>
    <w:p>
      <w:pPr>
        <w:snapToGrid w:val="0"/>
        <w:spacing w:line="300" w:lineRule="exact"/>
        <w:jc w:val="right"/>
        <w:rPr>
          <w:rFonts w:ascii="Calibri" w:hAnsi="Calibri" w:eastAsia="仿宋_GB2312" w:cs="Times New Roman"/>
          <w:kern w:val="0"/>
          <w:sz w:val="32"/>
        </w:rPr>
      </w:pPr>
      <w:r>
        <w:rPr>
          <w:rFonts w:hint="eastAsia" w:ascii="宋体" w:hAnsi="宋体" w:eastAsia="仿宋_GB2312" w:cs="Times New Roman"/>
          <w:kern w:val="0"/>
          <w:sz w:val="18"/>
        </w:rPr>
        <w:t>金额单位：万元</w:t>
      </w:r>
    </w:p>
    <w:tbl>
      <w:tblPr>
        <w:tblStyle w:val="12"/>
        <w:tblW w:w="1271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59"/>
        <w:gridCol w:w="1059"/>
        <w:gridCol w:w="990"/>
        <w:gridCol w:w="1056"/>
        <w:gridCol w:w="1236"/>
        <w:gridCol w:w="954"/>
        <w:gridCol w:w="1059"/>
        <w:gridCol w:w="1059"/>
        <w:gridCol w:w="972"/>
        <w:gridCol w:w="1056"/>
        <w:gridCol w:w="1200"/>
        <w:gridCol w:w="10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354" w:type="dxa"/>
            <w:gridSpan w:val="6"/>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预算数</w:t>
            </w:r>
          </w:p>
        </w:tc>
        <w:tc>
          <w:tcPr>
            <w:tcW w:w="6365" w:type="dxa"/>
            <w:gridSpan w:val="6"/>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合计</w:t>
            </w:r>
          </w:p>
        </w:tc>
        <w:tc>
          <w:tcPr>
            <w:tcW w:w="1059"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因公出国（境）费</w:t>
            </w:r>
          </w:p>
        </w:tc>
        <w:tc>
          <w:tcPr>
            <w:tcW w:w="3282" w:type="dxa"/>
            <w:gridSpan w:val="3"/>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公务用车购置及运行</w:t>
            </w:r>
            <w:r>
              <w:rPr>
                <w:rFonts w:hint="eastAsia" w:ascii="仿宋" w:hAnsi="仿宋" w:eastAsia="仿宋" w:cs="仿宋"/>
                <w:b/>
                <w:bCs/>
                <w:color w:val="000000"/>
                <w:kern w:val="0"/>
                <w:sz w:val="20"/>
                <w:szCs w:val="20"/>
                <w:lang w:eastAsia="zh-CN"/>
              </w:rPr>
              <w:t>维护</w:t>
            </w:r>
            <w:r>
              <w:rPr>
                <w:rFonts w:hint="eastAsia" w:ascii="仿宋" w:hAnsi="仿宋" w:eastAsia="仿宋" w:cs="仿宋"/>
                <w:b/>
                <w:bCs/>
                <w:color w:val="000000"/>
                <w:kern w:val="0"/>
                <w:sz w:val="20"/>
                <w:szCs w:val="20"/>
              </w:rPr>
              <w:t>费</w:t>
            </w:r>
          </w:p>
        </w:tc>
        <w:tc>
          <w:tcPr>
            <w:tcW w:w="954"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w:t>
            </w:r>
          </w:p>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接待费</w:t>
            </w:r>
          </w:p>
        </w:tc>
        <w:tc>
          <w:tcPr>
            <w:tcW w:w="1059"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合计</w:t>
            </w:r>
          </w:p>
        </w:tc>
        <w:tc>
          <w:tcPr>
            <w:tcW w:w="1059"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因公出国（境）费</w:t>
            </w:r>
          </w:p>
        </w:tc>
        <w:tc>
          <w:tcPr>
            <w:tcW w:w="3228" w:type="dxa"/>
            <w:gridSpan w:val="3"/>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公务用车购置及运行</w:t>
            </w:r>
            <w:r>
              <w:rPr>
                <w:rFonts w:hint="eastAsia" w:ascii="仿宋" w:hAnsi="仿宋" w:eastAsia="仿宋" w:cs="仿宋"/>
                <w:b/>
                <w:bCs/>
                <w:color w:val="000000"/>
                <w:kern w:val="0"/>
                <w:sz w:val="20"/>
                <w:szCs w:val="20"/>
                <w:lang w:eastAsia="zh-CN"/>
              </w:rPr>
              <w:t>维护</w:t>
            </w:r>
            <w:r>
              <w:rPr>
                <w:rFonts w:hint="eastAsia" w:ascii="仿宋" w:hAnsi="仿宋" w:eastAsia="仿宋" w:cs="仿宋"/>
                <w:b/>
                <w:bCs/>
                <w:color w:val="000000"/>
                <w:kern w:val="0"/>
                <w:sz w:val="20"/>
                <w:szCs w:val="20"/>
              </w:rPr>
              <w:t>费</w:t>
            </w:r>
          </w:p>
        </w:tc>
        <w:tc>
          <w:tcPr>
            <w:tcW w:w="1019"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w:t>
            </w:r>
          </w:p>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仿宋" w:hAnsi="仿宋" w:eastAsia="仿宋" w:cs="仿宋"/>
                <w:b/>
                <w:bCs/>
                <w:color w:val="000000"/>
                <w:kern w:val="0"/>
                <w:sz w:val="20"/>
                <w:szCs w:val="20"/>
              </w:rPr>
            </w:pPr>
          </w:p>
        </w:tc>
        <w:tc>
          <w:tcPr>
            <w:tcW w:w="105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仿宋" w:hAnsi="仿宋" w:eastAsia="仿宋" w:cs="仿宋"/>
                <w:b/>
                <w:bCs/>
                <w:color w:val="000000"/>
                <w:kern w:val="0"/>
                <w:sz w:val="20"/>
                <w:szCs w:val="20"/>
              </w:rPr>
            </w:pPr>
          </w:p>
        </w:tc>
        <w:tc>
          <w:tcPr>
            <w:tcW w:w="99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小计</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公务用车购置费</w:t>
            </w:r>
          </w:p>
        </w:tc>
        <w:tc>
          <w:tcPr>
            <w:tcW w:w="123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公务用车运行</w:t>
            </w:r>
            <w:r>
              <w:rPr>
                <w:rFonts w:hint="eastAsia" w:ascii="仿宋" w:hAnsi="仿宋" w:eastAsia="仿宋" w:cs="仿宋"/>
                <w:b/>
                <w:bCs/>
                <w:color w:val="000000"/>
                <w:kern w:val="0"/>
                <w:sz w:val="20"/>
                <w:szCs w:val="20"/>
                <w:lang w:eastAsia="zh-CN"/>
              </w:rPr>
              <w:t>维护</w:t>
            </w:r>
            <w:r>
              <w:rPr>
                <w:rFonts w:hint="eastAsia" w:ascii="仿宋" w:hAnsi="仿宋" w:eastAsia="仿宋" w:cs="仿宋"/>
                <w:b/>
                <w:bCs/>
                <w:color w:val="000000"/>
                <w:kern w:val="0"/>
                <w:sz w:val="20"/>
                <w:szCs w:val="20"/>
              </w:rPr>
              <w:t>费</w:t>
            </w:r>
          </w:p>
        </w:tc>
        <w:tc>
          <w:tcPr>
            <w:tcW w:w="95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仿宋" w:hAnsi="仿宋" w:eastAsia="仿宋" w:cs="仿宋"/>
                <w:b/>
                <w:bCs/>
                <w:color w:val="000000"/>
                <w:kern w:val="0"/>
                <w:sz w:val="20"/>
                <w:szCs w:val="20"/>
              </w:rPr>
            </w:pPr>
          </w:p>
        </w:tc>
        <w:tc>
          <w:tcPr>
            <w:tcW w:w="105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仿宋" w:hAnsi="仿宋" w:eastAsia="仿宋" w:cs="仿宋"/>
                <w:b/>
                <w:bCs/>
                <w:color w:val="000000"/>
                <w:kern w:val="0"/>
                <w:sz w:val="20"/>
                <w:szCs w:val="20"/>
              </w:rPr>
            </w:pPr>
          </w:p>
        </w:tc>
        <w:tc>
          <w:tcPr>
            <w:tcW w:w="105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仿宋" w:hAnsi="仿宋" w:eastAsia="仿宋" w:cs="仿宋"/>
                <w:b/>
                <w:bCs/>
                <w:color w:val="000000"/>
                <w:kern w:val="0"/>
                <w:sz w:val="20"/>
                <w:szCs w:val="20"/>
              </w:rPr>
            </w:pPr>
          </w:p>
        </w:tc>
        <w:tc>
          <w:tcPr>
            <w:tcW w:w="972"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小计</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公务用车购置费</w:t>
            </w:r>
          </w:p>
        </w:tc>
        <w:tc>
          <w:tcPr>
            <w:tcW w:w="120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公务用车运行</w:t>
            </w:r>
            <w:r>
              <w:rPr>
                <w:rFonts w:hint="eastAsia" w:ascii="仿宋" w:hAnsi="仿宋" w:eastAsia="仿宋" w:cs="仿宋"/>
                <w:b/>
                <w:bCs/>
                <w:color w:val="000000"/>
                <w:kern w:val="0"/>
                <w:sz w:val="20"/>
                <w:szCs w:val="20"/>
                <w:lang w:eastAsia="zh-CN"/>
              </w:rPr>
              <w:t>维护</w:t>
            </w:r>
            <w:r>
              <w:rPr>
                <w:rFonts w:hint="eastAsia" w:ascii="仿宋" w:hAnsi="仿宋" w:eastAsia="仿宋" w:cs="仿宋"/>
                <w:b/>
                <w:bCs/>
                <w:color w:val="000000"/>
                <w:kern w:val="0"/>
                <w:sz w:val="20"/>
                <w:szCs w:val="20"/>
              </w:rPr>
              <w:t>费</w:t>
            </w:r>
          </w:p>
        </w:tc>
        <w:tc>
          <w:tcPr>
            <w:tcW w:w="101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仿宋" w:hAnsi="仿宋" w:eastAsia="仿宋" w:cs="仿宋"/>
                <w:b/>
                <w:bCs/>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059"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99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123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95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1059"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w:t>
            </w:r>
          </w:p>
        </w:tc>
        <w:tc>
          <w:tcPr>
            <w:tcW w:w="1059"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w:t>
            </w:r>
          </w:p>
        </w:tc>
        <w:tc>
          <w:tcPr>
            <w:tcW w:w="972"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120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11</w:t>
            </w:r>
          </w:p>
        </w:tc>
        <w:tc>
          <w:tcPr>
            <w:tcW w:w="1019"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rPr>
            </w:pPr>
            <w:r>
              <w:rPr>
                <w:rFonts w:hint="eastAsia" w:ascii="宋体" w:hAnsi="宋体" w:eastAsia="宋体" w:cs="宋体"/>
                <w:b/>
                <w:bCs/>
                <w:i w:val="0"/>
                <w:color w:val="000000"/>
                <w:kern w:val="0"/>
                <w:sz w:val="22"/>
                <w:szCs w:val="22"/>
                <w:u w:val="none"/>
                <w:lang w:val="en-US" w:eastAsia="zh-CN" w:bidi="ar"/>
              </w:rPr>
              <w:t>71.51</w:t>
            </w:r>
          </w:p>
        </w:tc>
        <w:tc>
          <w:tcPr>
            <w:tcW w:w="105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仿宋" w:hAnsi="仿宋" w:eastAsia="仿宋" w:cs="仿宋"/>
                <w:color w:val="000000"/>
                <w:kern w:val="0"/>
                <w:sz w:val="20"/>
                <w:szCs w:val="20"/>
              </w:rPr>
            </w:pPr>
            <w:r>
              <w:rPr>
                <w:rFonts w:hint="eastAsia" w:ascii="宋体" w:hAnsi="宋体" w:eastAsia="宋体" w:cs="宋体"/>
                <w:i w:val="0"/>
                <w:color w:val="000000"/>
                <w:kern w:val="0"/>
                <w:sz w:val="22"/>
                <w:szCs w:val="22"/>
                <w:u w:val="none"/>
                <w:lang w:val="en-US" w:eastAsia="zh-CN" w:bidi="ar"/>
              </w:rPr>
              <w:t>17.62</w:t>
            </w:r>
          </w:p>
        </w:tc>
        <w:tc>
          <w:tcPr>
            <w:tcW w:w="99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rPr>
            </w:pPr>
            <w:r>
              <w:rPr>
                <w:rFonts w:hint="eastAsia" w:ascii="宋体" w:hAnsi="宋体" w:eastAsia="宋体" w:cs="宋体"/>
                <w:i w:val="0"/>
                <w:color w:val="000000"/>
                <w:kern w:val="0"/>
                <w:sz w:val="22"/>
                <w:szCs w:val="22"/>
                <w:u w:val="none"/>
                <w:lang w:val="en-US" w:eastAsia="zh-CN" w:bidi="ar"/>
              </w:rPr>
              <w:t>51.80</w:t>
            </w:r>
          </w:p>
        </w:tc>
        <w:tc>
          <w:tcPr>
            <w:tcW w:w="1056"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0.00</w:t>
            </w:r>
          </w:p>
        </w:tc>
        <w:tc>
          <w:tcPr>
            <w:tcW w:w="1236"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51.80</w:t>
            </w:r>
          </w:p>
        </w:tc>
        <w:tc>
          <w:tcPr>
            <w:tcW w:w="95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rPr>
            </w:pPr>
            <w:r>
              <w:rPr>
                <w:rFonts w:hint="eastAsia" w:ascii="宋体" w:hAnsi="宋体" w:eastAsia="宋体" w:cs="宋体"/>
                <w:i w:val="0"/>
                <w:color w:val="000000"/>
                <w:kern w:val="0"/>
                <w:sz w:val="22"/>
                <w:szCs w:val="22"/>
                <w:u w:val="none"/>
                <w:lang w:val="en-US" w:eastAsia="zh-CN" w:bidi="ar"/>
              </w:rPr>
              <w:t>2.09</w:t>
            </w:r>
          </w:p>
        </w:tc>
        <w:tc>
          <w:tcPr>
            <w:tcW w:w="105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b/>
                <w:bCs/>
                <w:i w:val="0"/>
                <w:color w:val="000000"/>
                <w:kern w:val="0"/>
                <w:sz w:val="22"/>
                <w:szCs w:val="22"/>
                <w:u w:val="none"/>
                <w:lang w:val="en-US" w:eastAsia="zh-CN" w:bidi="ar"/>
              </w:rPr>
              <w:t>71.51</w:t>
            </w:r>
          </w:p>
        </w:tc>
        <w:tc>
          <w:tcPr>
            <w:tcW w:w="105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17.62</w:t>
            </w:r>
          </w:p>
        </w:tc>
        <w:tc>
          <w:tcPr>
            <w:tcW w:w="97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51.80</w:t>
            </w:r>
          </w:p>
        </w:tc>
        <w:tc>
          <w:tcPr>
            <w:tcW w:w="1056"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0.00</w:t>
            </w:r>
          </w:p>
        </w:tc>
        <w:tc>
          <w:tcPr>
            <w:tcW w:w="120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51.80</w:t>
            </w:r>
          </w:p>
        </w:tc>
        <w:tc>
          <w:tcPr>
            <w:tcW w:w="101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2.09</w:t>
            </w:r>
          </w:p>
        </w:tc>
      </w:tr>
    </w:tbl>
    <w:p>
      <w:pPr>
        <w:snapToGrid w:val="0"/>
        <w:spacing w:line="300" w:lineRule="exact"/>
        <w:rPr>
          <w:rFonts w:ascii="宋体" w:hAnsi="宋体" w:eastAsia="仿宋_GB2312" w:cs="Times New Roman"/>
          <w:kern w:val="0"/>
          <w:sz w:val="18"/>
          <w:szCs w:val="18"/>
        </w:rPr>
      </w:pPr>
      <w:r>
        <w:rPr>
          <w:rFonts w:hint="eastAsia" w:ascii="宋体" w:hAnsi="宋体" w:eastAsia="仿宋_GB2312" w:cs="Times New Roman"/>
          <w:kern w:val="0"/>
          <w:sz w:val="18"/>
          <w:szCs w:val="18"/>
        </w:rPr>
        <w:t>注：1.本表反映部门本年度“三公”经费支出预决算情况。其中：预算数为“三公”经费年初预算数，决算数是包括当年一般公共预算财政拨款和以前年度结转资金安排的实际支出。</w:t>
      </w:r>
    </w:p>
    <w:p>
      <w:pPr>
        <w:snapToGrid w:val="0"/>
        <w:spacing w:line="300" w:lineRule="exact"/>
        <w:ind w:firstLine="352" w:firstLineChars="200"/>
        <w:rPr>
          <w:rFonts w:ascii="宋体" w:hAnsi="宋体" w:eastAsia="仿宋_GB2312" w:cs="Times New Roman"/>
          <w:kern w:val="0"/>
          <w:sz w:val="18"/>
          <w:szCs w:val="18"/>
        </w:rPr>
      </w:pPr>
      <w:r>
        <w:rPr>
          <w:rFonts w:hint="eastAsia" w:ascii="宋体" w:hAnsi="宋体" w:eastAsia="仿宋_GB2312" w:cs="Times New Roman"/>
          <w:kern w:val="0"/>
          <w:sz w:val="18"/>
          <w:szCs w:val="18"/>
        </w:rPr>
        <w:t>2.本套报表金额单位转换时可能存在尾数误差。</w:t>
      </w:r>
    </w:p>
    <w:p>
      <w:pPr>
        <w:widowControl/>
        <w:snapToGrid w:val="0"/>
        <w:spacing w:before="289" w:beforeLines="50" w:after="289" w:afterLines="50" w:line="360" w:lineRule="auto"/>
        <w:jc w:val="center"/>
        <w:outlineLvl w:val="1"/>
        <w:rPr>
          <w:rFonts w:ascii="黑体" w:hAnsi="宋体" w:eastAsia="黑体" w:cs="宋体"/>
          <w:b/>
          <w:color w:val="000000"/>
          <w:kern w:val="0"/>
          <w:sz w:val="30"/>
          <w:szCs w:val="30"/>
        </w:rPr>
      </w:pPr>
    </w:p>
    <w:p>
      <w:pPr>
        <w:rPr>
          <w:rFonts w:ascii="黑体" w:hAnsi="宋体" w:eastAsia="黑体" w:cs="宋体"/>
          <w:b/>
          <w:color w:val="000000"/>
          <w:kern w:val="0"/>
          <w:sz w:val="30"/>
          <w:szCs w:val="30"/>
        </w:rPr>
        <w:sectPr>
          <w:pgSz w:w="16838" w:h="11906" w:orient="landscape"/>
          <w:pgMar w:top="1531" w:right="2041" w:bottom="1531"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0"/>
        <w:rPr>
          <w:rFonts w:ascii="黑体" w:hAnsi="Calibri" w:eastAsia="黑体" w:cs="Times New Roman"/>
          <w:b/>
          <w:kern w:val="0"/>
          <w:sz w:val="36"/>
          <w:szCs w:val="36"/>
        </w:rPr>
      </w:pPr>
      <w:bookmarkStart w:id="45" w:name="_Toc93803468_WPSOffice_Level1"/>
      <w:bookmarkStart w:id="46" w:name="_Toc424398413"/>
      <w:bookmarkStart w:id="47" w:name="_Toc424398412"/>
      <w:r>
        <w:rPr>
          <w:rFonts w:hint="eastAsia" w:ascii="黑体" w:hAnsi="Calibri" w:eastAsia="黑体" w:cs="Times New Roman"/>
          <w:b/>
          <w:kern w:val="0"/>
          <w:sz w:val="36"/>
          <w:szCs w:val="36"/>
        </w:rPr>
        <w:t>第三部分 河北海事局</w:t>
      </w:r>
      <w:r>
        <w:rPr>
          <w:rFonts w:hint="eastAsia" w:ascii="黑体" w:hAnsi="Calibri" w:eastAsia="黑体" w:cs="Times New Roman"/>
          <w:b/>
          <w:kern w:val="0"/>
          <w:sz w:val="36"/>
          <w:szCs w:val="36"/>
          <w:lang w:eastAsia="zh-CN"/>
        </w:rPr>
        <w:t>本级</w:t>
      </w:r>
      <w:r>
        <w:rPr>
          <w:rFonts w:hint="eastAsia" w:ascii="黑体" w:hAnsi="Calibri" w:eastAsia="黑体" w:cs="Times New Roman"/>
          <w:b/>
          <w:kern w:val="0"/>
          <w:sz w:val="36"/>
          <w:szCs w:val="36"/>
        </w:rPr>
        <w:t>202</w:t>
      </w:r>
      <w:r>
        <w:rPr>
          <w:rFonts w:hint="eastAsia" w:ascii="黑体" w:hAnsi="Calibri" w:eastAsia="黑体" w:cs="Times New Roman"/>
          <w:b/>
          <w:kern w:val="0"/>
          <w:sz w:val="36"/>
          <w:szCs w:val="36"/>
          <w:lang w:val="en-US" w:eastAsia="zh-CN"/>
        </w:rPr>
        <w:t>4</w:t>
      </w:r>
      <w:r>
        <w:rPr>
          <w:rFonts w:hint="eastAsia" w:ascii="黑体" w:hAnsi="Calibri" w:eastAsia="黑体" w:cs="Times New Roman"/>
          <w:b/>
          <w:kern w:val="0"/>
          <w:sz w:val="36"/>
          <w:szCs w:val="36"/>
        </w:rPr>
        <w:t>年度部门决算</w:t>
      </w:r>
      <w:bookmarkEnd w:id="45"/>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0"/>
        <w:rPr>
          <w:rFonts w:ascii="仿宋_GB2312" w:hAnsi="宋体" w:eastAsia="仿宋_GB2312" w:cs="Times New Roman"/>
          <w:kern w:val="0"/>
          <w:sz w:val="36"/>
          <w:szCs w:val="36"/>
        </w:rPr>
      </w:pPr>
      <w:bookmarkStart w:id="48" w:name="_Toc1965743931_WPSOffice_Level2"/>
      <w:r>
        <w:rPr>
          <w:rFonts w:hint="eastAsia" w:ascii="黑体" w:hAnsi="Calibri" w:eastAsia="黑体" w:cs="Times New Roman"/>
          <w:b/>
          <w:kern w:val="0"/>
          <w:sz w:val="36"/>
          <w:szCs w:val="36"/>
        </w:rPr>
        <w:t>情况说明</w:t>
      </w:r>
      <w:bookmarkEnd w:id="46"/>
      <w:bookmarkEnd w:id="47"/>
      <w:bookmarkEnd w:id="48"/>
    </w:p>
    <w:p>
      <w:pPr>
        <w:tabs>
          <w:tab w:val="left" w:pos="1064"/>
        </w:tabs>
        <w:adjustRightInd w:val="0"/>
        <w:snapToGrid w:val="0"/>
        <w:spacing w:line="580" w:lineRule="exact"/>
        <w:ind w:firstLine="600" w:firstLineChars="200"/>
        <w:rPr>
          <w:rFonts w:ascii="黑体" w:hAnsi="Calibri" w:eastAsia="黑体" w:cs="Times New Roman"/>
          <w:kern w:val="0"/>
          <w:sz w:val="30"/>
          <w:szCs w:val="30"/>
        </w:rPr>
      </w:pPr>
    </w:p>
    <w:p>
      <w:pPr>
        <w:keepNext w:val="0"/>
        <w:keepLines w:val="0"/>
        <w:pageBreakBefore w:val="0"/>
        <w:widowControl w:val="0"/>
        <w:tabs>
          <w:tab w:val="left" w:pos="1064"/>
        </w:tabs>
        <w:kinsoku/>
        <w:wordWrap/>
        <w:overflowPunct/>
        <w:topLinePunct w:val="0"/>
        <w:autoSpaceDE/>
        <w:autoSpaceDN/>
        <w:bidi w:val="0"/>
        <w:adjustRightInd w:val="0"/>
        <w:snapToGrid w:val="0"/>
        <w:spacing w:line="580" w:lineRule="exact"/>
        <w:ind w:firstLine="640" w:firstLineChars="200"/>
        <w:textAlignment w:val="auto"/>
        <w:outlineLvl w:val="1"/>
        <w:rPr>
          <w:rFonts w:ascii="仿宋_GB2312" w:hAnsi="Calibri" w:eastAsia="仿宋_GB2312" w:cs="Times New Roman"/>
          <w:b w:val="0"/>
          <w:bCs/>
          <w:kern w:val="0"/>
          <w:sz w:val="32"/>
          <w:szCs w:val="32"/>
        </w:rPr>
      </w:pPr>
      <w:bookmarkStart w:id="49" w:name="_Toc1392953274_WPSOffice_Level2"/>
      <w:bookmarkStart w:id="50" w:name="_Toc1332455262_WPSOffice_Level2"/>
      <w:r>
        <w:rPr>
          <w:rFonts w:hint="eastAsia" w:ascii="黑体" w:hAnsi="Calibri" w:eastAsia="黑体" w:cs="Times New Roman"/>
          <w:b w:val="0"/>
          <w:bCs/>
          <w:kern w:val="0"/>
          <w:sz w:val="32"/>
          <w:szCs w:val="32"/>
        </w:rPr>
        <w:t>一、关于收支情况总体说明</w:t>
      </w:r>
      <w:bookmarkEnd w:id="49"/>
      <w:bookmarkEnd w:id="50"/>
    </w:p>
    <w:p>
      <w:pPr>
        <w:adjustRightInd w:val="0"/>
        <w:snapToGrid w:val="0"/>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河北海事局202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年度收支总</w:t>
      </w:r>
      <w:r>
        <w:rPr>
          <w:rFonts w:hint="eastAsia" w:ascii="仿宋_GB2312" w:hAnsi="仿宋_GB2312" w:eastAsia="仿宋_GB2312" w:cs="仿宋_GB2312"/>
          <w:kern w:val="0"/>
          <w:sz w:val="32"/>
          <w:szCs w:val="32"/>
          <w:lang w:val="en-US" w:eastAsia="zh-CN" w:bidi="ar-SA"/>
        </w:rPr>
        <w:t>决算21,008.01</w:t>
      </w:r>
      <w:r>
        <w:rPr>
          <w:rFonts w:hint="eastAsia" w:ascii="仿宋_GB2312" w:hAnsi="仿宋_GB2312" w:eastAsia="仿宋_GB2312" w:cs="仿宋_GB2312"/>
          <w:kern w:val="0"/>
          <w:sz w:val="32"/>
          <w:szCs w:val="32"/>
          <w:lang w:val="zh-CN" w:eastAsia="zh-CN" w:bidi="ar-SA"/>
        </w:rPr>
        <w:t>万元</w:t>
      </w:r>
      <w:r>
        <w:rPr>
          <w:rFonts w:hint="eastAsia" w:ascii="仿宋_GB2312" w:hAnsi="仿宋_GB2312" w:eastAsia="仿宋_GB2312" w:cs="仿宋_GB2312"/>
          <w:kern w:val="0"/>
          <w:sz w:val="32"/>
          <w:szCs w:val="32"/>
          <w:lang w:val="en-US" w:eastAsia="zh-CN" w:bidi="ar-SA"/>
        </w:rPr>
        <w:t>,其中,本年收入17,484.83万元，具体情况如下：</w:t>
      </w:r>
    </w:p>
    <w:p>
      <w:pPr>
        <w:adjustRightInd w:val="0"/>
        <w:snapToGrid w:val="0"/>
        <w:spacing w:line="580" w:lineRule="exact"/>
        <w:ind w:firstLine="640" w:firstLineChars="200"/>
        <w:outlineLvl w:val="2"/>
        <w:rPr>
          <w:rFonts w:hint="eastAsia" w:ascii="楷体" w:hAnsi="楷体" w:eastAsia="楷体" w:cs="楷体"/>
          <w:b w:val="0"/>
          <w:bCs/>
          <w:kern w:val="0"/>
          <w:sz w:val="32"/>
          <w:szCs w:val="32"/>
          <w:lang w:val="zh-CN" w:eastAsia="zh-CN" w:bidi="ar-SA"/>
        </w:rPr>
      </w:pPr>
      <w:r>
        <w:rPr>
          <w:rFonts w:hint="eastAsia" w:ascii="楷体" w:hAnsi="楷体" w:eastAsia="楷体" w:cs="楷体"/>
          <w:b w:val="0"/>
          <w:bCs/>
          <w:kern w:val="0"/>
          <w:sz w:val="32"/>
          <w:szCs w:val="32"/>
          <w:lang w:val="en-US" w:eastAsia="zh-CN" w:bidi="ar-SA"/>
        </w:rPr>
        <w:t>（一）收入总</w:t>
      </w:r>
      <w:r>
        <w:rPr>
          <w:rFonts w:hint="eastAsia" w:ascii="楷体" w:hAnsi="楷体" w:eastAsia="楷体" w:cs="楷体"/>
          <w:b w:val="0"/>
          <w:bCs/>
          <w:kern w:val="0"/>
          <w:sz w:val="32"/>
          <w:szCs w:val="32"/>
          <w:lang w:val="zh-CN" w:eastAsia="zh-CN" w:bidi="ar-SA"/>
        </w:rPr>
        <w:t>计</w:t>
      </w:r>
      <w:r>
        <w:rPr>
          <w:rFonts w:hint="eastAsia" w:ascii="仿宋_GB2312" w:hAnsi="仿宋_GB2312" w:eastAsia="仿宋_GB2312" w:cs="仿宋_GB2312"/>
          <w:kern w:val="0"/>
          <w:sz w:val="32"/>
          <w:szCs w:val="32"/>
          <w:lang w:val="en-US" w:eastAsia="zh-CN" w:bidi="ar-SA"/>
        </w:rPr>
        <w:t>21,008.01</w:t>
      </w:r>
      <w:r>
        <w:rPr>
          <w:rFonts w:hint="eastAsia" w:ascii="楷体" w:hAnsi="楷体" w:eastAsia="楷体" w:cs="楷体"/>
          <w:b w:val="0"/>
          <w:bCs/>
          <w:kern w:val="0"/>
          <w:sz w:val="32"/>
          <w:szCs w:val="32"/>
          <w:lang w:val="en-US" w:eastAsia="zh-CN" w:bidi="ar-SA"/>
        </w:rPr>
        <w:t>万元。</w:t>
      </w:r>
    </w:p>
    <w:p>
      <w:pPr>
        <w:pStyle w:val="5"/>
        <w:keepNext w:val="0"/>
        <w:keepLines w:val="0"/>
        <w:pageBreakBefore w:val="0"/>
        <w:kinsoku/>
        <w:wordWrap/>
        <w:overflowPunct/>
        <w:topLinePunct w:val="0"/>
        <w:autoSpaceDE/>
        <w:autoSpaceDN/>
        <w:bidi w:val="0"/>
        <w:spacing w:line="560" w:lineRule="exact"/>
        <w:ind w:firstLine="64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sz w:val="32"/>
          <w:szCs w:val="32"/>
          <w:highlight w:val="none"/>
        </w:rPr>
        <w:t>一般公共预算财政拨款收入</w:t>
      </w:r>
      <w:r>
        <w:rPr>
          <w:rFonts w:hint="eastAsia" w:ascii="仿宋_GB2312" w:hAnsi="仿宋_GB2312" w:eastAsia="仿宋_GB2312" w:cs="仿宋_GB2312"/>
          <w:b/>
          <w:sz w:val="32"/>
          <w:szCs w:val="32"/>
          <w:highlight w:val="none"/>
          <w:lang w:val="en-US" w:eastAsia="zh-CN"/>
        </w:rPr>
        <w:t>15,763.41</w:t>
      </w:r>
      <w:r>
        <w:rPr>
          <w:rFonts w:hint="eastAsia" w:ascii="仿宋_GB2312" w:hAnsi="仿宋_GB2312" w:eastAsia="仿宋_GB2312" w:cs="仿宋_GB2312"/>
          <w:b/>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为河北海事局</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当年从中央财政取得的一般公共预算资金，较202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年决算数增长</w:t>
      </w:r>
      <w:r>
        <w:rPr>
          <w:rFonts w:hint="eastAsia" w:ascii="仿宋_GB2312" w:hAnsi="仿宋_GB2312" w:eastAsia="仿宋_GB2312" w:cs="仿宋_GB2312"/>
          <w:sz w:val="32"/>
          <w:szCs w:val="32"/>
          <w:lang w:val="en-US" w:eastAsia="zh-CN"/>
        </w:rPr>
        <w:t>12,598.91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49.61</w:t>
      </w:r>
      <w:r>
        <w:rPr>
          <w:rFonts w:hint="eastAsia" w:ascii="仿宋_GB2312" w:hAnsi="仿宋_GB2312" w:eastAsia="仿宋_GB2312" w:cs="仿宋_GB2312"/>
          <w:sz w:val="32"/>
          <w:szCs w:val="32"/>
        </w:rPr>
        <w:t>%。主要原因是追加安排中央预算内基建项目投资。</w:t>
      </w:r>
    </w:p>
    <w:p>
      <w:pPr>
        <w:pStyle w:val="2"/>
        <w:keepNext w:val="0"/>
        <w:keepLines w:val="0"/>
        <w:pageBreakBefore w:val="0"/>
        <w:kinsoku/>
        <w:wordWrap/>
        <w:overflowPunct/>
        <w:topLinePunct w:val="0"/>
        <w:autoSpaceDE/>
        <w:autoSpaceDN/>
        <w:bidi w:val="0"/>
        <w:spacing w:after="0" w:line="560" w:lineRule="exact"/>
        <w:ind w:left="0" w:leftChars="0" w:right="0" w:rightChars="0" w:firstLine="642"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2.</w:t>
      </w:r>
      <w:r>
        <w:rPr>
          <w:rFonts w:hint="eastAsia" w:ascii="仿宋_GB2312" w:hAnsi="仿宋_GB2312" w:eastAsia="仿宋_GB2312" w:cs="仿宋_GB2312"/>
          <w:b/>
          <w:sz w:val="32"/>
          <w:szCs w:val="32"/>
          <w:highlight w:val="none"/>
        </w:rPr>
        <w:t>其他收入</w:t>
      </w:r>
      <w:r>
        <w:rPr>
          <w:rFonts w:hint="eastAsia" w:ascii="仿宋_GB2312" w:hAnsi="仿宋_GB2312" w:eastAsia="仿宋_GB2312" w:cs="仿宋_GB2312"/>
          <w:b/>
          <w:sz w:val="32"/>
          <w:szCs w:val="32"/>
          <w:highlight w:val="none"/>
          <w:lang w:val="en-US" w:eastAsia="zh-CN"/>
        </w:rPr>
        <w:t>7,222.8</w:t>
      </w:r>
      <w:r>
        <w:rPr>
          <w:rFonts w:hint="eastAsia" w:ascii="仿宋_GB2312" w:hAnsi="仿宋_GB2312" w:eastAsia="仿宋_GB2312" w:cs="仿宋_GB2312"/>
          <w:b/>
          <w:sz w:val="32"/>
          <w:szCs w:val="32"/>
          <w:highlight w:val="none"/>
        </w:rPr>
        <w:t>万</w:t>
      </w:r>
      <w:r>
        <w:rPr>
          <w:rFonts w:hint="eastAsia" w:ascii="仿宋_GB2312" w:hAnsi="仿宋_GB2312" w:eastAsia="仿宋_GB2312" w:cs="仿宋_GB2312"/>
          <w:b/>
          <w:sz w:val="32"/>
          <w:szCs w:val="32"/>
        </w:rPr>
        <w:t>元</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为河北海事局</w:t>
      </w:r>
      <w:r>
        <w:rPr>
          <w:rFonts w:hint="eastAsia" w:ascii="仿宋_GB2312" w:hAnsi="仿宋_GB2312" w:eastAsia="仿宋_GB2312" w:cs="仿宋_GB2312"/>
          <w:sz w:val="32"/>
          <w:szCs w:val="32"/>
          <w:lang w:eastAsia="zh-CN"/>
        </w:rPr>
        <w:t>本级及所属单位</w:t>
      </w:r>
      <w:r>
        <w:rPr>
          <w:rFonts w:hint="eastAsia" w:ascii="仿宋_GB2312" w:hAnsi="仿宋_GB2312" w:eastAsia="仿宋_GB2312" w:cs="仿宋_GB2312"/>
          <w:sz w:val="32"/>
          <w:szCs w:val="32"/>
        </w:rPr>
        <w:t>在除本级财政拨款收入之外取得的收入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Cs w:val="32"/>
          <w:highlight w:val="none"/>
        </w:rPr>
        <w:t>较202</w:t>
      </w:r>
      <w:r>
        <w:rPr>
          <w:rFonts w:hint="eastAsia" w:ascii="仿宋_GB2312" w:hAnsi="仿宋_GB2312" w:eastAsia="仿宋_GB2312" w:cs="仿宋_GB2312"/>
          <w:szCs w:val="32"/>
          <w:highlight w:val="none"/>
          <w:lang w:val="en-US" w:eastAsia="zh-CN"/>
        </w:rPr>
        <w:t>3</w:t>
      </w:r>
      <w:r>
        <w:rPr>
          <w:rFonts w:hint="eastAsia" w:ascii="仿宋_GB2312" w:hAnsi="仿宋_GB2312" w:eastAsia="仿宋_GB2312" w:cs="仿宋_GB2312"/>
          <w:szCs w:val="32"/>
          <w:highlight w:val="none"/>
        </w:rPr>
        <w:t>年决算数</w:t>
      </w:r>
      <w:r>
        <w:rPr>
          <w:rFonts w:hint="eastAsia" w:ascii="仿宋_GB2312" w:hAnsi="仿宋_GB2312" w:eastAsia="仿宋_GB2312" w:cs="仿宋_GB2312"/>
          <w:szCs w:val="32"/>
          <w:highlight w:val="none"/>
          <w:lang w:eastAsia="zh-CN"/>
        </w:rPr>
        <w:t>增加</w:t>
      </w:r>
      <w:r>
        <w:rPr>
          <w:rFonts w:hint="eastAsia" w:ascii="仿宋_GB2312" w:hAnsi="仿宋_GB2312" w:eastAsia="仿宋_GB2312" w:cs="仿宋_GB2312"/>
          <w:szCs w:val="32"/>
          <w:highlight w:val="none"/>
          <w:lang w:val="en-US" w:eastAsia="zh-CN"/>
        </w:rPr>
        <w:t>1,566.77</w:t>
      </w:r>
      <w:r>
        <w:rPr>
          <w:rFonts w:hint="eastAsia" w:ascii="仿宋_GB2312" w:hAnsi="仿宋_GB2312" w:eastAsia="仿宋_GB2312" w:cs="仿宋_GB2312"/>
          <w:szCs w:val="32"/>
          <w:highlight w:val="none"/>
        </w:rPr>
        <w:t>万元，</w:t>
      </w:r>
      <w:r>
        <w:rPr>
          <w:rFonts w:hint="eastAsia" w:ascii="仿宋_GB2312" w:hAnsi="仿宋_GB2312" w:eastAsia="仿宋_GB2312" w:cs="仿宋_GB2312"/>
          <w:szCs w:val="32"/>
          <w:highlight w:val="none"/>
          <w:lang w:eastAsia="zh-CN"/>
        </w:rPr>
        <w:t>增长</w:t>
      </w:r>
      <w:r>
        <w:rPr>
          <w:rFonts w:hint="eastAsia" w:ascii="仿宋_GB2312" w:hAnsi="仿宋_GB2312" w:eastAsia="仿宋_GB2312" w:cs="仿宋_GB2312"/>
          <w:szCs w:val="32"/>
          <w:highlight w:val="none"/>
          <w:lang w:val="en-US" w:eastAsia="zh-CN"/>
        </w:rPr>
        <w:t>1013.1</w:t>
      </w:r>
      <w:r>
        <w:rPr>
          <w:rFonts w:hint="eastAsia" w:ascii="仿宋_GB2312" w:hAnsi="仿宋_GB2312" w:eastAsia="仿宋_GB2312" w:cs="仿宋_GB2312"/>
          <w:szCs w:val="32"/>
          <w:highlight w:val="none"/>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主要原因是非本级财政拨款收入增加</w:t>
      </w:r>
      <w:r>
        <w:rPr>
          <w:rFonts w:hint="eastAsia" w:ascii="仿宋_GB2312" w:hAnsi="仿宋_GB2312" w:eastAsia="仿宋_GB2312" w:cs="仿宋_GB2312"/>
          <w:sz w:val="32"/>
          <w:szCs w:val="32"/>
          <w:highlight w:val="none"/>
        </w:rPr>
        <w:t>。</w:t>
      </w:r>
    </w:p>
    <w:p>
      <w:pPr>
        <w:pStyle w:val="5"/>
        <w:keepNext w:val="0"/>
        <w:keepLines w:val="0"/>
        <w:pageBreakBefore w:val="0"/>
        <w:kinsoku/>
        <w:wordWrap/>
        <w:overflowPunct/>
        <w:topLinePunct w:val="0"/>
        <w:autoSpaceDE/>
        <w:autoSpaceDN/>
        <w:bidi w:val="0"/>
        <w:spacing w:line="560" w:lineRule="exact"/>
        <w:ind w:firstLine="64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3.年初结转和结余</w:t>
      </w:r>
      <w:r>
        <w:rPr>
          <w:rFonts w:hint="eastAsia" w:ascii="仿宋_GB2312" w:hAnsi="仿宋_GB2312" w:eastAsia="仿宋_GB2312" w:cs="仿宋_GB2312"/>
          <w:b/>
          <w:sz w:val="32"/>
          <w:szCs w:val="32"/>
          <w:highlight w:val="none"/>
          <w:lang w:val="en-US" w:eastAsia="zh-CN"/>
        </w:rPr>
        <w:t>3,523.18</w:t>
      </w:r>
      <w:r>
        <w:rPr>
          <w:rFonts w:hint="eastAsia" w:ascii="仿宋_GB2312" w:hAnsi="仿宋_GB2312" w:eastAsia="仿宋_GB2312" w:cs="仿宋_GB2312"/>
          <w:b/>
          <w:sz w:val="32"/>
          <w:szCs w:val="32"/>
          <w:lang w:val="en-US" w:eastAsia="zh-CN"/>
        </w:rPr>
        <w:t>万元，</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rPr>
        <w:t>河北海事局</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highlight w:val="none"/>
          <w:lang w:val="en-US" w:eastAsia="zh-CN"/>
        </w:rPr>
        <w:t>以前年度尚未完成，</w:t>
      </w:r>
      <w:r>
        <w:rPr>
          <w:rFonts w:hint="eastAsia" w:ascii="仿宋_GB2312" w:hAnsi="仿宋_GB2312" w:eastAsia="仿宋_GB2312" w:cs="仿宋_GB2312"/>
          <w:sz w:val="32"/>
          <w:szCs w:val="32"/>
        </w:rPr>
        <w:t>结转到本年仍按原规定用途继续使用的资金，以及部分待上缴财政的结余资金。</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楷体" w:hAnsi="楷体" w:eastAsia="楷体" w:cs="楷体"/>
          <w:b w:val="0"/>
          <w:bCs/>
          <w:kern w:val="0"/>
          <w:sz w:val="32"/>
          <w:szCs w:val="32"/>
          <w:lang w:val="en-US" w:eastAsia="zh-CN" w:bidi="ar-SA"/>
        </w:rPr>
      </w:pPr>
      <w:bookmarkStart w:id="51" w:name="_Toc424398417"/>
      <w:r>
        <w:rPr>
          <w:rFonts w:hint="eastAsia" w:ascii="楷体" w:hAnsi="楷体" w:eastAsia="楷体" w:cs="楷体"/>
          <w:b w:val="0"/>
          <w:bCs/>
          <w:kern w:val="0"/>
          <w:sz w:val="32"/>
          <w:szCs w:val="32"/>
          <w:lang w:val="en-US" w:eastAsia="zh-CN" w:bidi="ar-SA"/>
        </w:rPr>
        <w:t>（二）支出总计</w:t>
      </w:r>
      <w:r>
        <w:rPr>
          <w:rFonts w:hint="eastAsia" w:ascii="仿宋_GB2312" w:hAnsi="仿宋_GB2312" w:eastAsia="仿宋_GB2312" w:cs="仿宋_GB2312"/>
          <w:kern w:val="0"/>
          <w:sz w:val="32"/>
          <w:szCs w:val="32"/>
          <w:lang w:val="en-US" w:eastAsia="zh-CN" w:bidi="ar-SA"/>
        </w:rPr>
        <w:t>21,008.01</w:t>
      </w:r>
      <w:r>
        <w:rPr>
          <w:rFonts w:hint="eastAsia" w:ascii="楷体" w:hAnsi="楷体" w:eastAsia="楷体" w:cs="楷体"/>
          <w:b w:val="0"/>
          <w:bCs/>
          <w:kern w:val="0"/>
          <w:sz w:val="32"/>
          <w:szCs w:val="32"/>
          <w:lang w:val="en-US" w:eastAsia="zh-CN" w:bidi="ar-SA"/>
        </w:rPr>
        <w:t>万元。</w:t>
      </w:r>
    </w:p>
    <w:p>
      <w:pPr>
        <w:pStyle w:val="2"/>
        <w:keepNext w:val="0"/>
        <w:keepLines w:val="0"/>
        <w:pageBreakBefore w:val="0"/>
        <w:kinsoku/>
        <w:wordWrap/>
        <w:overflowPunct/>
        <w:topLinePunct w:val="0"/>
        <w:autoSpaceDE/>
        <w:autoSpaceDN/>
        <w:bidi w:val="0"/>
        <w:spacing w:after="0" w:line="560" w:lineRule="exact"/>
        <w:ind w:left="0" w:leftChars="0" w:right="0" w:rightChars="0" w:firstLine="642"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1.社会保障和就业支出（类）支出</w:t>
      </w:r>
      <w:r>
        <w:rPr>
          <w:rFonts w:hint="eastAsia" w:ascii="仿宋_GB2312" w:hAnsi="仿宋_GB2312" w:eastAsia="仿宋_GB2312" w:cs="仿宋_GB2312"/>
          <w:b/>
          <w:sz w:val="32"/>
          <w:szCs w:val="32"/>
          <w:highlight w:val="none"/>
          <w:lang w:val="en-US" w:eastAsia="zh-CN"/>
        </w:rPr>
        <w:t>753.5</w:t>
      </w:r>
      <w:r>
        <w:rPr>
          <w:rFonts w:hint="eastAsia" w:ascii="仿宋_GB2312" w:hAnsi="仿宋_GB2312" w:eastAsia="仿宋_GB2312" w:cs="仿宋_GB2312"/>
          <w:b/>
          <w:kern w:val="0"/>
          <w:sz w:val="32"/>
          <w:szCs w:val="32"/>
          <w:lang w:val="en-US" w:eastAsia="zh-CN" w:bidi="ar-SA"/>
        </w:rPr>
        <w:t>万元，</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海事局本级在职人员养老保险及职业年金缴费、离退休人员经费支出。</w:t>
      </w:r>
      <w:r>
        <w:rPr>
          <w:rFonts w:hint="eastAsia" w:ascii="仿宋_GB2312" w:hAnsi="仿宋_GB2312" w:eastAsia="仿宋_GB2312" w:cs="仿宋_GB2312"/>
          <w:szCs w:val="32"/>
          <w:highlight w:val="none"/>
        </w:rPr>
        <w:t>较</w:t>
      </w:r>
      <w:r>
        <w:rPr>
          <w:rFonts w:hint="eastAsia" w:ascii="仿宋_GB2312" w:hAnsi="仿宋_GB2312" w:eastAsia="仿宋_GB2312" w:cs="仿宋_GB2312"/>
          <w:szCs w:val="32"/>
          <w:highlight w:val="none"/>
          <w:lang w:val="en-US" w:eastAsia="zh-CN"/>
        </w:rPr>
        <w:t>2023</w:t>
      </w:r>
      <w:r>
        <w:rPr>
          <w:rFonts w:hint="eastAsia" w:ascii="仿宋_GB2312" w:hAnsi="仿宋_GB2312" w:eastAsia="仿宋_GB2312" w:cs="仿宋_GB2312"/>
          <w:szCs w:val="32"/>
          <w:highlight w:val="none"/>
        </w:rPr>
        <w:t>年决算</w:t>
      </w:r>
      <w:r>
        <w:rPr>
          <w:rFonts w:hint="eastAsia" w:ascii="仿宋_GB2312" w:hAnsi="仿宋_GB2312" w:eastAsia="仿宋_GB2312" w:cs="仿宋_GB2312"/>
          <w:szCs w:val="32"/>
          <w:highlight w:val="none"/>
          <w:lang w:val="en-US" w:eastAsia="zh-CN"/>
        </w:rPr>
        <w:t>增加42.78</w:t>
      </w:r>
      <w:r>
        <w:rPr>
          <w:rFonts w:hint="eastAsia" w:ascii="仿宋_GB2312" w:hAnsi="仿宋_GB2312" w:eastAsia="仿宋_GB2312" w:cs="仿宋_GB2312"/>
          <w:szCs w:val="32"/>
          <w:highlight w:val="none"/>
        </w:rPr>
        <w:t>万元，</w:t>
      </w:r>
      <w:r>
        <w:rPr>
          <w:rFonts w:hint="eastAsia" w:ascii="仿宋_GB2312" w:hAnsi="仿宋_GB2312" w:eastAsia="仿宋_GB2312" w:cs="仿宋_GB2312"/>
          <w:szCs w:val="32"/>
          <w:highlight w:val="none"/>
          <w:lang w:eastAsia="zh-CN"/>
        </w:rPr>
        <w:t>增长</w:t>
      </w:r>
      <w:r>
        <w:rPr>
          <w:rFonts w:hint="eastAsia" w:ascii="仿宋_GB2312" w:hAnsi="仿宋_GB2312" w:eastAsia="仿宋_GB2312" w:cs="仿宋_GB2312"/>
          <w:szCs w:val="32"/>
          <w:highlight w:val="none"/>
          <w:lang w:val="en-US" w:eastAsia="zh-CN"/>
        </w:rPr>
        <w:t>6.00</w:t>
      </w:r>
      <w:r>
        <w:rPr>
          <w:rFonts w:hint="eastAsia" w:ascii="仿宋_GB2312" w:hAnsi="仿宋_GB2312" w:eastAsia="仿宋_GB2312" w:cs="仿宋_GB2312"/>
          <w:szCs w:val="32"/>
          <w:highlight w:val="none"/>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主要原因是按国家统一规定调整社保缴存基数。</w:t>
      </w:r>
    </w:p>
    <w:p>
      <w:pPr>
        <w:pStyle w:val="2"/>
        <w:pageBreakBefore w:val="0"/>
        <w:kinsoku/>
        <w:wordWrap/>
        <w:overflowPunct/>
        <w:topLinePunct w:val="0"/>
        <w:autoSpaceDE/>
        <w:autoSpaceDN/>
        <w:bidi w:val="0"/>
        <w:adjustRightInd/>
        <w:snapToGrid/>
        <w:spacing w:after="0" w:line="560" w:lineRule="exact"/>
        <w:ind w:left="0" w:leftChars="0" w:right="0" w:rightChars="0" w:firstLine="643"/>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b/>
          <w:kern w:val="0"/>
          <w:sz w:val="32"/>
          <w:szCs w:val="32"/>
          <w:lang w:val="en-US" w:eastAsia="zh-CN" w:bidi="ar-SA"/>
        </w:rPr>
        <w:t>2.卫生健康支出（类）支出</w:t>
      </w:r>
      <w:r>
        <w:rPr>
          <w:rFonts w:hint="eastAsia" w:ascii="仿宋_GB2312" w:hAnsi="仿宋_GB2312" w:eastAsia="仿宋_GB2312" w:cs="仿宋_GB2312"/>
          <w:b/>
          <w:sz w:val="32"/>
          <w:szCs w:val="32"/>
          <w:highlight w:val="none"/>
          <w:lang w:val="en-US" w:eastAsia="zh-CN"/>
        </w:rPr>
        <w:t>296.95</w:t>
      </w:r>
      <w:r>
        <w:rPr>
          <w:rFonts w:hint="eastAsia" w:ascii="仿宋_GB2312" w:hAnsi="仿宋_GB2312" w:eastAsia="仿宋_GB2312" w:cs="仿宋_GB2312"/>
          <w:b/>
          <w:kern w:val="0"/>
          <w:sz w:val="32"/>
          <w:szCs w:val="32"/>
          <w:lang w:val="en-US" w:eastAsia="zh-CN" w:bidi="ar-SA"/>
        </w:rPr>
        <w:t>万元，</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w:t>
      </w:r>
      <w:r>
        <w:rPr>
          <w:rFonts w:hint="eastAsia" w:ascii="仿宋_GB2312" w:hAnsi="仿宋_GB2312" w:cs="仿宋_GB2312"/>
          <w:sz w:val="32"/>
          <w:szCs w:val="32"/>
          <w:lang w:eastAsia="zh-CN"/>
        </w:rPr>
        <w:t>本级</w:t>
      </w:r>
      <w:r>
        <w:rPr>
          <w:rFonts w:hint="eastAsia" w:ascii="仿宋_GB2312" w:hAnsi="仿宋_GB2312" w:eastAsia="仿宋_GB2312" w:cs="仿宋_GB2312"/>
          <w:sz w:val="32"/>
          <w:szCs w:val="32"/>
        </w:rPr>
        <w:t>医疗费等方面的支出。</w:t>
      </w:r>
      <w:r>
        <w:rPr>
          <w:rFonts w:hint="eastAsia" w:ascii="仿宋_GB2312" w:hAnsi="仿宋_GB2312" w:eastAsia="仿宋_GB2312" w:cs="仿宋_GB2312"/>
          <w:szCs w:val="32"/>
          <w:highlight w:val="none"/>
        </w:rPr>
        <w:t>较202</w:t>
      </w:r>
      <w:r>
        <w:rPr>
          <w:rFonts w:hint="eastAsia" w:ascii="仿宋_GB2312" w:hAnsi="仿宋_GB2312" w:eastAsia="仿宋_GB2312" w:cs="仿宋_GB2312"/>
          <w:szCs w:val="32"/>
          <w:highlight w:val="none"/>
          <w:lang w:val="en-US" w:eastAsia="zh-CN"/>
        </w:rPr>
        <w:t>3</w:t>
      </w:r>
      <w:r>
        <w:rPr>
          <w:rFonts w:hint="eastAsia" w:ascii="仿宋_GB2312" w:hAnsi="仿宋_GB2312" w:eastAsia="仿宋_GB2312" w:cs="仿宋_GB2312"/>
          <w:szCs w:val="32"/>
          <w:highlight w:val="none"/>
        </w:rPr>
        <w:t>年决算</w:t>
      </w:r>
      <w:r>
        <w:rPr>
          <w:rFonts w:hint="eastAsia" w:ascii="仿宋_GB2312" w:hAnsi="仿宋_GB2312" w:eastAsia="仿宋_GB2312" w:cs="仿宋_GB2312"/>
          <w:szCs w:val="32"/>
          <w:highlight w:val="none"/>
          <w:lang w:val="en-US" w:eastAsia="zh-CN"/>
        </w:rPr>
        <w:t>增加1.29</w:t>
      </w:r>
      <w:r>
        <w:rPr>
          <w:rFonts w:hint="eastAsia" w:ascii="仿宋_GB2312" w:hAnsi="仿宋_GB2312" w:eastAsia="仿宋_GB2312" w:cs="仿宋_GB2312"/>
          <w:szCs w:val="32"/>
          <w:highlight w:val="none"/>
        </w:rPr>
        <w:t>万元，</w:t>
      </w:r>
      <w:r>
        <w:rPr>
          <w:rFonts w:hint="eastAsia" w:ascii="仿宋_GB2312" w:hAnsi="仿宋_GB2312" w:cs="仿宋_GB2312"/>
          <w:szCs w:val="32"/>
          <w:highlight w:val="none"/>
          <w:lang w:eastAsia="zh-CN"/>
        </w:rPr>
        <w:t>基本</w:t>
      </w:r>
      <w:r>
        <w:rPr>
          <w:rFonts w:hint="eastAsia" w:ascii="仿宋_GB2312" w:hAnsi="仿宋_GB2312" w:eastAsia="仿宋_GB2312" w:cs="仿宋_GB2312"/>
          <w:szCs w:val="32"/>
          <w:highlight w:val="none"/>
          <w:lang w:val="en-US" w:eastAsia="zh-CN"/>
        </w:rPr>
        <w:t>与上年持平</w:t>
      </w:r>
      <w:r>
        <w:rPr>
          <w:rFonts w:hint="eastAsia" w:ascii="仿宋_GB2312" w:hAnsi="仿宋_GB2312" w:eastAsia="仿宋_GB2312" w:cs="仿宋_GB2312"/>
          <w:szCs w:val="32"/>
          <w:highlight w:val="none"/>
        </w:rPr>
        <w:t>。</w:t>
      </w:r>
    </w:p>
    <w:p>
      <w:pPr>
        <w:pStyle w:val="5"/>
        <w:keepNext w:val="0"/>
        <w:keepLines w:val="0"/>
        <w:pageBreakBefore w:val="0"/>
        <w:kinsoku/>
        <w:wordWrap/>
        <w:overflowPunct/>
        <w:topLinePunct w:val="0"/>
        <w:autoSpaceDE/>
        <w:autoSpaceDN/>
        <w:bidi w:val="0"/>
        <w:spacing w:line="560" w:lineRule="exact"/>
        <w:ind w:firstLine="642"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3.交通运输支出（类）支出</w:t>
      </w:r>
      <w:r>
        <w:rPr>
          <w:rFonts w:hint="eastAsia" w:ascii="仿宋_GB2312" w:hAnsi="仿宋_GB2312" w:eastAsia="仿宋_GB2312" w:cs="仿宋_GB2312"/>
          <w:b/>
          <w:sz w:val="32"/>
          <w:szCs w:val="32"/>
          <w:highlight w:val="none"/>
          <w:lang w:val="en-US" w:eastAsia="zh-CN"/>
        </w:rPr>
        <w:t>17438.65</w:t>
      </w:r>
      <w:r>
        <w:rPr>
          <w:rFonts w:hint="eastAsia" w:ascii="仿宋_GB2312" w:hAnsi="仿宋_GB2312" w:eastAsia="仿宋_GB2312" w:cs="仿宋_GB2312"/>
          <w:b/>
          <w:sz w:val="32"/>
          <w:szCs w:val="32"/>
          <w:lang w:val="en-US" w:eastAsia="zh-CN"/>
        </w:rPr>
        <w:t>万元，</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交通运输行政管理、公共基础设施建设、水上安全管理等方面的支出</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年决算</w:t>
      </w:r>
      <w:r>
        <w:rPr>
          <w:rFonts w:hint="eastAsia" w:ascii="仿宋_GB2312" w:hAnsi="仿宋_GB2312" w:eastAsia="仿宋_GB2312" w:cs="仿宋_GB2312"/>
          <w:sz w:val="32"/>
          <w:szCs w:val="32"/>
          <w:lang w:val="en-US" w:eastAsia="zh-CN"/>
        </w:rPr>
        <w:t>增长9,781.29万元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lang w:eastAsia="zh-CN"/>
        </w:rPr>
        <w:t>%。主要原因是基本建设项目支出增加。</w:t>
      </w:r>
    </w:p>
    <w:p>
      <w:pPr>
        <w:pStyle w:val="2"/>
        <w:pageBreakBefore w:val="0"/>
        <w:kinsoku/>
        <w:wordWrap/>
        <w:overflowPunct/>
        <w:topLinePunct w:val="0"/>
        <w:autoSpaceDE/>
        <w:autoSpaceDN/>
        <w:bidi w:val="0"/>
        <w:adjustRightInd/>
        <w:snapToGrid/>
        <w:spacing w:after="0"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4.住房保障支出支出（类）支出</w:t>
      </w:r>
      <w:r>
        <w:rPr>
          <w:rFonts w:hint="eastAsia" w:ascii="仿宋_GB2312" w:hAnsi="仿宋_GB2312" w:eastAsia="仿宋_GB2312" w:cs="仿宋_GB2312"/>
          <w:b/>
          <w:sz w:val="32"/>
          <w:szCs w:val="32"/>
          <w:highlight w:val="none"/>
          <w:lang w:val="en-US" w:eastAsia="zh-CN"/>
        </w:rPr>
        <w:t>300</w:t>
      </w:r>
      <w:r>
        <w:rPr>
          <w:rFonts w:hint="eastAsia" w:ascii="仿宋_GB2312" w:hAnsi="仿宋_GB2312" w:eastAsia="仿宋_GB2312" w:cs="仿宋_GB2312"/>
          <w:b/>
          <w:sz w:val="32"/>
          <w:szCs w:val="32"/>
          <w:lang w:val="en-US" w:eastAsia="zh-CN"/>
        </w:rPr>
        <w:t>万元，</w:t>
      </w:r>
      <w:r>
        <w:rPr>
          <w:rFonts w:hint="eastAsia" w:ascii="仿宋_GB2312" w:hAnsi="仿宋_GB2312" w:eastAsia="仿宋_GB2312" w:cs="仿宋_GB2312"/>
          <w:sz w:val="32"/>
          <w:szCs w:val="32"/>
        </w:rPr>
        <w:t>主要用于住房公积金等住房改革方面的支出。</w:t>
      </w:r>
      <w:r>
        <w:rPr>
          <w:rFonts w:hint="eastAsia" w:ascii="仿宋_GB2312" w:hAnsi="仿宋_GB2312" w:eastAsia="仿宋_GB2312" w:cs="仿宋_GB2312"/>
          <w:szCs w:val="32"/>
          <w:highlight w:val="none"/>
        </w:rPr>
        <w:t>较</w:t>
      </w:r>
      <w:r>
        <w:rPr>
          <w:rFonts w:hint="eastAsia" w:ascii="仿宋_GB2312" w:hAnsi="仿宋_GB2312" w:eastAsia="仿宋_GB2312" w:cs="仿宋_GB2312"/>
          <w:szCs w:val="32"/>
          <w:highlight w:val="none"/>
          <w:lang w:val="en-US" w:eastAsia="zh-CN"/>
        </w:rPr>
        <w:t>2023</w:t>
      </w:r>
      <w:r>
        <w:rPr>
          <w:rFonts w:hint="eastAsia" w:ascii="仿宋_GB2312" w:hAnsi="仿宋_GB2312" w:eastAsia="仿宋_GB2312" w:cs="仿宋_GB2312"/>
          <w:szCs w:val="32"/>
          <w:highlight w:val="none"/>
        </w:rPr>
        <w:t>年决算</w:t>
      </w:r>
      <w:r>
        <w:rPr>
          <w:rFonts w:hint="eastAsia" w:ascii="仿宋_GB2312" w:hAnsi="仿宋_GB2312" w:eastAsia="仿宋_GB2312" w:cs="仿宋_GB2312"/>
          <w:szCs w:val="32"/>
          <w:highlight w:val="none"/>
          <w:lang w:val="en-US" w:eastAsia="zh-CN"/>
        </w:rPr>
        <w:t>增长7.28万元</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eastAsia="zh-CN"/>
        </w:rPr>
        <w:t>增长</w:t>
      </w:r>
      <w:r>
        <w:rPr>
          <w:rFonts w:hint="eastAsia" w:ascii="仿宋_GB2312" w:hAnsi="仿宋_GB2312" w:eastAsia="仿宋_GB2312" w:cs="仿宋_GB2312"/>
          <w:szCs w:val="32"/>
          <w:highlight w:val="none"/>
          <w:lang w:val="en-US" w:eastAsia="zh-CN"/>
        </w:rPr>
        <w:t>2</w:t>
      </w:r>
      <w:r>
        <w:rPr>
          <w:rFonts w:hint="eastAsia" w:ascii="仿宋_GB2312" w:hAnsi="仿宋_GB2312" w:eastAsia="仿宋_GB2312" w:cs="仿宋_GB2312"/>
          <w:szCs w:val="32"/>
          <w:highlight w:val="none"/>
        </w:rPr>
        <w:t>%。</w:t>
      </w:r>
      <w:r>
        <w:rPr>
          <w:rFonts w:hint="eastAsia" w:ascii="仿宋_GB2312" w:hAnsi="仿宋_GB2312" w:eastAsia="仿宋_GB2312" w:cs="仿宋_GB2312"/>
          <w:sz w:val="32"/>
          <w:szCs w:val="32"/>
        </w:rPr>
        <w:t>主要原因是按国家统一规定调整住房公积金等缴存基数。</w:t>
      </w:r>
    </w:p>
    <w:p>
      <w:pPr>
        <w:pStyle w:val="5"/>
        <w:keepNext w:val="0"/>
        <w:keepLines w:val="0"/>
        <w:pageBreakBefore w:val="0"/>
        <w:kinsoku/>
        <w:wordWrap/>
        <w:overflowPunct/>
        <w:topLinePunct w:val="0"/>
        <w:autoSpaceDE/>
        <w:autoSpaceDN/>
        <w:bidi w:val="0"/>
        <w:spacing w:line="560" w:lineRule="exact"/>
        <w:ind w:firstLine="64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SA"/>
        </w:rPr>
        <w:t>5.年末结转和结余2,218.91万元，</w:t>
      </w:r>
      <w:r>
        <w:rPr>
          <w:rFonts w:hint="eastAsia" w:ascii="仿宋_GB2312" w:hAnsi="仿宋_GB2312" w:eastAsia="仿宋_GB2312" w:cs="仿宋_GB2312"/>
          <w:sz w:val="32"/>
          <w:szCs w:val="32"/>
        </w:rPr>
        <w:t>为本年度或以前年度预算安排无法按原计划实施，需要结转到下年继续使用的资金，以及按财政部规定需上缴的结余资金。</w:t>
      </w:r>
    </w:p>
    <w:p>
      <w:pPr>
        <w:keepNext w:val="0"/>
        <w:keepLines w:val="0"/>
        <w:pageBreakBefore w:val="0"/>
        <w:widowControl w:val="0"/>
        <w:tabs>
          <w:tab w:val="left" w:pos="1064"/>
        </w:tabs>
        <w:kinsoku/>
        <w:wordWrap/>
        <w:overflowPunct/>
        <w:topLinePunct w:val="0"/>
        <w:autoSpaceDE/>
        <w:autoSpaceDN/>
        <w:bidi w:val="0"/>
        <w:adjustRightInd w:val="0"/>
        <w:snapToGrid w:val="0"/>
        <w:spacing w:line="580" w:lineRule="exact"/>
        <w:ind w:firstLine="640" w:firstLineChars="200"/>
        <w:textAlignment w:val="auto"/>
        <w:outlineLvl w:val="1"/>
        <w:rPr>
          <w:rFonts w:hint="eastAsia" w:ascii="黑体" w:hAnsi="Calibri" w:eastAsia="黑体" w:cs="Times New Roman"/>
          <w:b w:val="0"/>
          <w:bCs/>
          <w:kern w:val="0"/>
          <w:sz w:val="32"/>
          <w:szCs w:val="32"/>
        </w:rPr>
      </w:pPr>
      <w:bookmarkStart w:id="52" w:name="_Toc1164120073_WPSOffice_Level2"/>
      <w:bookmarkStart w:id="53" w:name="_Toc210300859_WPSOffice_Level2"/>
      <w:r>
        <w:rPr>
          <w:rFonts w:hint="eastAsia" w:ascii="黑体" w:hAnsi="Calibri" w:eastAsia="黑体" w:cs="Times New Roman"/>
          <w:b w:val="0"/>
          <w:bCs/>
          <w:kern w:val="0"/>
          <w:sz w:val="32"/>
          <w:szCs w:val="32"/>
        </w:rPr>
        <w:t>二、一般公共预算财政拨款支出决算情况说明</w:t>
      </w:r>
      <w:bookmarkEnd w:id="52"/>
      <w:bookmarkEnd w:id="53"/>
    </w:p>
    <w:p>
      <w:pPr>
        <w:keepNext w:val="0"/>
        <w:keepLines w:val="0"/>
        <w:pageBreakBefore w:val="0"/>
        <w:widowControl w:val="0"/>
        <w:tabs>
          <w:tab w:val="left" w:pos="1064"/>
        </w:tabs>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楷体" w:hAnsi="楷体" w:eastAsia="楷体" w:cs="楷体"/>
          <w:b w:val="0"/>
          <w:bCs/>
          <w:kern w:val="0"/>
          <w:sz w:val="32"/>
          <w:szCs w:val="32"/>
          <w:lang w:val="en-US" w:eastAsia="zh-CN" w:bidi="ar-SA"/>
        </w:rPr>
      </w:pPr>
      <w:r>
        <w:rPr>
          <w:rFonts w:hint="eastAsia" w:ascii="楷体" w:hAnsi="楷体" w:eastAsia="楷体" w:cs="楷体"/>
          <w:b w:val="0"/>
          <w:bCs/>
          <w:kern w:val="0"/>
          <w:sz w:val="32"/>
          <w:szCs w:val="32"/>
          <w:lang w:val="en-US" w:eastAsia="zh-CN" w:bidi="ar-SA"/>
        </w:rPr>
        <w:t>（一）一般公共预算财政拨款支出决算变化情况。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2024年度一般公共预算财政拨款支出</w:t>
      </w:r>
      <w:r>
        <w:rPr>
          <w:rFonts w:hint="eastAsia" w:ascii="仿宋_GB2312" w:hAnsi="仿宋_GB2312" w:eastAsia="仿宋_GB2312" w:cs="仿宋_GB2312"/>
          <w:i w:val="0"/>
          <w:color w:val="000000"/>
          <w:kern w:val="0"/>
          <w:sz w:val="32"/>
          <w:szCs w:val="32"/>
          <w:u w:val="none"/>
          <w:lang w:val="en-US" w:eastAsia="zh-CN" w:bidi="ar"/>
        </w:rPr>
        <w:t>17,429.29</w:t>
      </w:r>
      <w:r>
        <w:rPr>
          <w:rFonts w:hint="eastAsia" w:ascii="仿宋_GB2312" w:hAnsi="仿宋_GB2312" w:eastAsia="仿宋_GB2312" w:cs="仿宋_GB2312"/>
          <w:sz w:val="32"/>
          <w:szCs w:val="32"/>
        </w:rPr>
        <w:t>万元，占本年支出的</w:t>
      </w:r>
      <w:r>
        <w:rPr>
          <w:rFonts w:hint="eastAsia" w:ascii="仿宋_GB2312" w:hAnsi="仿宋_GB2312" w:eastAsia="仿宋_GB2312" w:cs="仿宋_GB2312"/>
          <w:sz w:val="32"/>
          <w:szCs w:val="32"/>
          <w:lang w:val="en-US" w:eastAsia="zh-CN"/>
        </w:rPr>
        <w:t>92.76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 较2023年决算数增加</w:t>
      </w:r>
      <w:r>
        <w:rPr>
          <w:rFonts w:hint="eastAsia" w:ascii="仿宋_GB2312" w:hAnsi="仿宋_GB2312" w:eastAsia="仿宋_GB2312" w:cs="仿宋_GB2312"/>
          <w:sz w:val="32"/>
          <w:szCs w:val="32"/>
          <w:highlight w:val="none"/>
          <w:lang w:val="en-US" w:eastAsia="zh-CN"/>
        </w:rPr>
        <w:t>8,958.9</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105.77</w:t>
      </w:r>
      <w:r>
        <w:rPr>
          <w:rFonts w:hint="eastAsia" w:ascii="仿宋_GB2312" w:hAnsi="仿宋_GB2312" w:eastAsia="仿宋_GB2312" w:cs="仿宋_GB2312"/>
          <w:sz w:val="32"/>
          <w:szCs w:val="32"/>
          <w:highlight w:val="none"/>
        </w:rPr>
        <w:t>%，主要原因是2024年度执行中追加中央预算内基建项目投资。</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一般公共预算财政拨款支出决算构成情况。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2024年度一般公共预算财政拨款用于以下方面：交通运输支出(类）支出16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078.44万元，占</w:t>
      </w:r>
      <w:r>
        <w:rPr>
          <w:rFonts w:hint="eastAsia" w:ascii="仿宋_GB2312" w:hAnsi="仿宋_GB2312" w:eastAsia="仿宋_GB2312" w:cs="仿宋_GB2312"/>
          <w:sz w:val="32"/>
          <w:szCs w:val="32"/>
          <w:lang w:val="en-US" w:eastAsia="zh-CN"/>
        </w:rPr>
        <w:t>92.25</w:t>
      </w:r>
      <w:r>
        <w:rPr>
          <w:rFonts w:hint="eastAsia" w:ascii="仿宋_GB2312" w:hAnsi="仿宋_GB2312" w:eastAsia="仿宋_GB2312" w:cs="仿宋_GB2312"/>
          <w:sz w:val="32"/>
          <w:szCs w:val="32"/>
        </w:rPr>
        <w:t>%；社会保障和就业支出（类）支出753.5万元，占</w:t>
      </w:r>
      <w:r>
        <w:rPr>
          <w:rFonts w:hint="eastAsia" w:ascii="仿宋_GB2312" w:hAnsi="仿宋_GB2312" w:eastAsia="仿宋_GB2312" w:cs="仿宋_GB2312"/>
          <w:sz w:val="32"/>
          <w:szCs w:val="32"/>
          <w:lang w:val="en-US" w:eastAsia="zh-CN"/>
        </w:rPr>
        <w:t>4.32</w:t>
      </w:r>
      <w:r>
        <w:rPr>
          <w:rFonts w:hint="eastAsia" w:ascii="仿宋_GB2312" w:hAnsi="仿宋_GB2312" w:eastAsia="仿宋_GB2312" w:cs="仿宋_GB2312"/>
          <w:sz w:val="32"/>
          <w:szCs w:val="32"/>
        </w:rPr>
        <w:t>%；住房保障支出（类）支出300万元，占</w:t>
      </w:r>
      <w:r>
        <w:rPr>
          <w:rFonts w:hint="eastAsia" w:ascii="仿宋_GB2312" w:hAnsi="仿宋_GB2312" w:eastAsia="仿宋_GB2312" w:cs="仿宋_GB2312"/>
          <w:sz w:val="32"/>
          <w:szCs w:val="32"/>
          <w:lang w:val="en-US" w:eastAsia="zh-CN"/>
        </w:rPr>
        <w:t>1.72</w:t>
      </w:r>
      <w:r>
        <w:rPr>
          <w:rFonts w:hint="eastAsia" w:ascii="仿宋_GB2312" w:hAnsi="仿宋_GB2312" w:eastAsia="仿宋_GB2312" w:cs="仿宋_GB2312"/>
          <w:sz w:val="32"/>
          <w:szCs w:val="32"/>
        </w:rPr>
        <w:t>%；卫生健康支出 （类）支出296.95万元，占</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楷体" w:hAnsi="楷体" w:eastAsia="楷体" w:cs="楷体"/>
          <w:sz w:val="32"/>
          <w:szCs w:val="32"/>
          <w:highlight w:val="none"/>
        </w:rPr>
      </w:pPr>
      <w:r>
        <w:rPr>
          <w:rFonts w:hint="eastAsia" w:ascii="楷体" w:hAnsi="楷体" w:eastAsia="楷体" w:cs="楷体"/>
          <w:sz w:val="32"/>
          <w:szCs w:val="32"/>
          <w:highlight w:val="none"/>
        </w:rPr>
        <w:t>（三）一般公共预算财政拨款支出具体使用情况。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.社会保障和就业支出 （类）</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（1）行政事业单位养老支出（款）行政单位离退休（项）支出</w:t>
      </w:r>
      <w:r>
        <w:rPr>
          <w:rFonts w:hint="eastAsia" w:ascii="仿宋_GB2312" w:hAnsi="仿宋_GB2312" w:eastAsia="仿宋_GB2312" w:cs="仿宋_GB2312"/>
          <w:sz w:val="32"/>
          <w:szCs w:val="32"/>
          <w:highlight w:val="none"/>
          <w:lang w:val="en-US" w:eastAsia="zh-CN"/>
        </w:rPr>
        <w:t>373.07</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100.91</w:t>
      </w:r>
      <w:r>
        <w:rPr>
          <w:rFonts w:hint="eastAsia" w:ascii="仿宋_GB2312" w:hAnsi="仿宋_GB2312" w:eastAsia="仿宋_GB2312" w:cs="仿宋_GB2312"/>
          <w:sz w:val="32"/>
          <w:szCs w:val="32"/>
          <w:highlight w:val="none"/>
        </w:rPr>
        <w:t>%。决算数大于年初预算数的主要原因是执行中追加</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）行政事业单位养老支出（款）机关事业单位基本养老保险缴费支出（项）支出</w:t>
      </w:r>
      <w:r>
        <w:rPr>
          <w:rFonts w:hint="eastAsia" w:ascii="仿宋_GB2312" w:hAnsi="仿宋_GB2312" w:eastAsia="仿宋_GB2312" w:cs="仿宋_GB2312"/>
          <w:sz w:val="32"/>
          <w:szCs w:val="32"/>
          <w:highlight w:val="none"/>
          <w:lang w:val="en-US" w:eastAsia="zh-CN"/>
        </w:rPr>
        <w:t>241.6</w:t>
      </w:r>
      <w:r>
        <w:rPr>
          <w:rFonts w:hint="eastAsia" w:ascii="仿宋_GB2312" w:hAnsi="仿宋_GB2312" w:eastAsia="仿宋_GB2312" w:cs="仿宋_GB2312"/>
          <w:sz w:val="32"/>
          <w:szCs w:val="32"/>
          <w:highlight w:val="none"/>
        </w:rPr>
        <w:t>万元，完成年初预算的100%</w:t>
      </w:r>
      <w:r>
        <w:rPr>
          <w:rFonts w:hint="eastAsia" w:ascii="仿宋_GB2312" w:hAnsi="仿宋_GB2312" w:eastAsia="仿宋_GB2312" w:cs="仿宋_GB2312"/>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）行政事业单位养老支出（款）机关事业单位职业年金缴费支出 （项）支出</w:t>
      </w:r>
      <w:r>
        <w:rPr>
          <w:rFonts w:hint="eastAsia" w:ascii="仿宋_GB2312" w:hAnsi="仿宋_GB2312" w:eastAsia="仿宋_GB2312" w:cs="仿宋_GB2312"/>
          <w:sz w:val="32"/>
          <w:szCs w:val="32"/>
          <w:highlight w:val="none"/>
          <w:lang w:val="en-US" w:eastAsia="zh-CN"/>
        </w:rPr>
        <w:t>138.83</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.卫生健康支出（类）</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行政事业单位医疗（款）行政单位医疗（项）支出</w:t>
      </w:r>
      <w:r>
        <w:rPr>
          <w:rFonts w:hint="eastAsia" w:ascii="仿宋_GB2312" w:hAnsi="仿宋_GB2312" w:eastAsia="仿宋_GB2312" w:cs="仿宋_GB2312"/>
          <w:sz w:val="32"/>
          <w:szCs w:val="32"/>
          <w:highlight w:val="none"/>
          <w:lang w:val="en-US" w:eastAsia="zh-CN"/>
        </w:rPr>
        <w:t>296.95</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.交通运输支出 （类）</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）公路水路运输（款）海事管理（项）支出</w:t>
      </w:r>
      <w:r>
        <w:rPr>
          <w:rFonts w:hint="eastAsia" w:ascii="仿宋_GB2312" w:hAnsi="仿宋_GB2312" w:eastAsia="仿宋_GB2312" w:cs="仿宋_GB2312"/>
          <w:sz w:val="32"/>
          <w:szCs w:val="32"/>
          <w:highlight w:val="none"/>
          <w:lang w:val="en-US" w:eastAsia="zh-CN"/>
        </w:rPr>
        <w:t>4,659.84</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105.25</w:t>
      </w:r>
      <w:r>
        <w:rPr>
          <w:rFonts w:hint="eastAsia" w:ascii="仿宋_GB2312" w:hAnsi="仿宋_GB2312" w:eastAsia="仿宋_GB2312" w:cs="仿宋_GB2312"/>
          <w:sz w:val="32"/>
          <w:szCs w:val="32"/>
          <w:highlight w:val="none"/>
        </w:rPr>
        <w:t>%。决算数大于年初预算数的主要原因是执行中追加</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）公路水路运输（款）其他公路水路运输支出（项）支出</w:t>
      </w:r>
      <w:r>
        <w:rPr>
          <w:rFonts w:hint="eastAsia" w:ascii="仿宋_GB2312" w:hAnsi="仿宋_GB2312" w:eastAsia="仿宋_GB2312" w:cs="仿宋_GB2312"/>
          <w:sz w:val="32"/>
          <w:szCs w:val="32"/>
          <w:highlight w:val="none"/>
          <w:lang w:val="en-US" w:eastAsia="zh-CN"/>
        </w:rPr>
        <w:t>11,418.6</w:t>
      </w:r>
      <w:r>
        <w:rPr>
          <w:rFonts w:hint="eastAsia" w:ascii="仿宋_GB2312" w:hAnsi="仿宋_GB2312" w:eastAsia="仿宋_GB2312" w:cs="仿宋_GB2312"/>
          <w:sz w:val="32"/>
          <w:szCs w:val="32"/>
          <w:highlight w:val="none"/>
        </w:rPr>
        <w:t>万元， 完成年初预算的</w:t>
      </w:r>
      <w:r>
        <w:rPr>
          <w:rFonts w:hint="eastAsia" w:ascii="仿宋_GB2312" w:hAnsi="仿宋_GB2312" w:eastAsia="仿宋_GB2312" w:cs="仿宋_GB2312"/>
          <w:sz w:val="32"/>
          <w:szCs w:val="32"/>
          <w:highlight w:val="none"/>
          <w:lang w:val="en-US" w:eastAsia="zh-CN"/>
        </w:rPr>
        <w:t>694.98</w:t>
      </w:r>
      <w:r>
        <w:rPr>
          <w:rFonts w:hint="eastAsia" w:ascii="仿宋_GB2312" w:hAnsi="仿宋_GB2312" w:eastAsia="仿宋_GB2312" w:cs="仿宋_GB2312"/>
          <w:sz w:val="32"/>
          <w:szCs w:val="32"/>
          <w:highlight w:val="none"/>
        </w:rPr>
        <w:t>%，决算数大于年初预算数的主要原因是执行中追加</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.住房保障支出 （类）</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住房改革支出（款）住房公积金 （项）支出</w:t>
      </w:r>
      <w:r>
        <w:rPr>
          <w:rFonts w:hint="eastAsia" w:ascii="仿宋_GB2312" w:hAnsi="仿宋_GB2312" w:eastAsia="仿宋_GB2312" w:cs="仿宋_GB2312"/>
          <w:sz w:val="32"/>
          <w:szCs w:val="32"/>
          <w:highlight w:val="none"/>
          <w:lang w:val="en-US" w:eastAsia="zh-CN"/>
        </w:rPr>
        <w:t>300</w:t>
      </w:r>
      <w:r>
        <w:rPr>
          <w:rFonts w:hint="eastAsia" w:ascii="仿宋_GB2312" w:hAnsi="仿宋_GB2312" w:eastAsia="仿宋_GB2312" w:cs="仿宋_GB2312"/>
          <w:sz w:val="32"/>
          <w:szCs w:val="32"/>
          <w:highlight w:val="none"/>
        </w:rPr>
        <w:t>万元，完成年初预算的100%，决算数大于年初预算数的主要原因是执行中按规定使用以前年度结转资金。</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黑体" w:hAnsi="Calibri" w:eastAsia="黑体" w:cs="Times New Roman"/>
          <w:b w:val="0"/>
          <w:bCs/>
          <w:kern w:val="0"/>
          <w:sz w:val="32"/>
          <w:szCs w:val="32"/>
          <w:lang w:val="en-US" w:eastAsia="zh-CN" w:bidi="ar-SA"/>
        </w:rPr>
      </w:pPr>
      <w:bookmarkStart w:id="54" w:name="_Toc1463207573_WPSOffice_Level2"/>
      <w:bookmarkStart w:id="55" w:name="_Toc19787297_WPSOffice_Level2"/>
      <w:r>
        <w:rPr>
          <w:rFonts w:hint="eastAsia" w:ascii="黑体" w:hAnsi="Calibri" w:eastAsia="黑体" w:cs="Times New Roman"/>
          <w:b w:val="0"/>
          <w:bCs/>
          <w:kern w:val="0"/>
          <w:sz w:val="32"/>
          <w:szCs w:val="32"/>
          <w:lang w:val="en-US" w:eastAsia="zh-CN" w:bidi="ar-SA"/>
        </w:rPr>
        <w:t>三、一般公共预算财政拨款基本支出决算情况说明</w:t>
      </w:r>
      <w:bookmarkEnd w:id="54"/>
      <w:bookmarkEnd w:id="55"/>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2024年度一般公共预算财政拨款基本支出</w:t>
      </w:r>
      <w:r>
        <w:rPr>
          <w:rFonts w:hint="eastAsia" w:ascii="仿宋_GB2312" w:hAnsi="仿宋_GB2312" w:eastAsia="仿宋_GB2312" w:cs="仿宋_GB2312"/>
          <w:sz w:val="32"/>
          <w:szCs w:val="32"/>
          <w:lang w:val="en-US" w:eastAsia="zh-CN"/>
        </w:rPr>
        <w:t>4789.74</w:t>
      </w:r>
      <w:r>
        <w:rPr>
          <w:rFonts w:hint="eastAsia" w:ascii="仿宋_GB2312" w:hAnsi="仿宋_GB2312" w:eastAsia="仿宋_GB2312" w:cs="仿宋_GB2312"/>
          <w:sz w:val="32"/>
          <w:szCs w:val="32"/>
        </w:rPr>
        <w:t>万元， 其中 ：</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3,333.74</w:t>
      </w:r>
      <w:r>
        <w:rPr>
          <w:rFonts w:hint="eastAsia" w:ascii="仿宋_GB2312" w:hAnsi="仿宋_GB2312" w:eastAsia="仿宋_GB2312" w:cs="仿宋_GB2312"/>
          <w:sz w:val="32"/>
          <w:szCs w:val="32"/>
        </w:rPr>
        <w:t>万元，主要包括：基本工资、津贴补贴、奖金、机关事业单位基本养老保险缴费、职业年金缴费、职工基本医疗保险缴费、公务员医疗补助缴费、其他社会保障缴费、住房公积金、医疗费、退休费、抚恤金、生活补助、医疗费补助、奖励金、其他对个人和家庭的补助支出等；</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1,456.00</w:t>
      </w:r>
      <w:r>
        <w:rPr>
          <w:rFonts w:hint="eastAsia" w:ascii="仿宋_GB2312" w:hAnsi="仿宋_GB2312" w:eastAsia="仿宋_GB2312" w:cs="仿宋_GB2312"/>
          <w:sz w:val="32"/>
          <w:szCs w:val="32"/>
        </w:rPr>
        <w:t>万元，主要包括： 办公费、印刷费、咨询费、手续费、水费、电费、邮电费、取暖费、物业管理费、差旅费、因公出国 （境）费、维修 （护）费、租赁费、会议费、培训费、公务接待费、专用材料费、被装购置费、专用燃料费、劳务费、委托业务费、工会经费、福利费、公务用车运行维护费、其他交通费、其他商品和服务支出、办公设备购置、专用设备购置、信息网络及软件购置更新、无形资产购置。</w:t>
      </w:r>
    </w:p>
    <w:p>
      <w:pPr>
        <w:keepNext w:val="0"/>
        <w:keepLines w:val="0"/>
        <w:pageBreakBefore w:val="0"/>
        <w:widowControl w:val="0"/>
        <w:tabs>
          <w:tab w:val="left" w:pos="1064"/>
        </w:tabs>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黑体" w:hAnsi="Calibri" w:eastAsia="黑体" w:cs="Times New Roman"/>
          <w:b w:val="0"/>
          <w:bCs/>
          <w:kern w:val="0"/>
          <w:sz w:val="32"/>
          <w:szCs w:val="32"/>
        </w:rPr>
      </w:pPr>
      <w:bookmarkStart w:id="56" w:name="_Toc693550265_WPSOffice_Level2"/>
      <w:bookmarkStart w:id="57" w:name="_Toc1307147287_WPSOffice_Level2"/>
      <w:r>
        <w:rPr>
          <w:rFonts w:hint="eastAsia" w:ascii="黑体" w:hAnsi="Calibri" w:eastAsia="黑体" w:cs="Times New Roman"/>
          <w:b w:val="0"/>
          <w:bCs/>
          <w:kern w:val="0"/>
          <w:sz w:val="32"/>
          <w:szCs w:val="32"/>
          <w:lang w:eastAsia="zh-CN"/>
        </w:rPr>
        <w:t>四、</w:t>
      </w:r>
      <w:r>
        <w:rPr>
          <w:rFonts w:hint="eastAsia" w:ascii="黑体" w:hAnsi="Calibri" w:eastAsia="黑体" w:cs="Times New Roman"/>
          <w:b w:val="0"/>
          <w:bCs/>
          <w:kern w:val="0"/>
          <w:sz w:val="32"/>
          <w:szCs w:val="32"/>
        </w:rPr>
        <w:t>政府性基金预算财政拨款收入支出决算情况说明</w:t>
      </w:r>
      <w:bookmarkEnd w:id="56"/>
      <w:bookmarkEnd w:id="57"/>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2024年度政府性基金预算财政拨款未安排预算支出。</w:t>
      </w:r>
    </w:p>
    <w:p>
      <w:pPr>
        <w:keepNext w:val="0"/>
        <w:keepLines w:val="0"/>
        <w:pageBreakBefore w:val="0"/>
        <w:widowControl w:val="0"/>
        <w:tabs>
          <w:tab w:val="left" w:pos="1064"/>
        </w:tabs>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黑体" w:hAnsi="Calibri" w:eastAsia="黑体" w:cs="Times New Roman"/>
          <w:b w:val="0"/>
          <w:bCs/>
          <w:kern w:val="0"/>
          <w:sz w:val="32"/>
          <w:szCs w:val="32"/>
        </w:rPr>
      </w:pPr>
      <w:bookmarkStart w:id="58" w:name="_Toc509728895_WPSOffice_Level2"/>
      <w:bookmarkStart w:id="59" w:name="_Toc1477347499_WPSOffice_Level2"/>
      <w:r>
        <w:rPr>
          <w:rFonts w:hint="eastAsia" w:ascii="黑体" w:hAnsi="Calibri" w:eastAsia="黑体" w:cs="Times New Roman"/>
          <w:b w:val="0"/>
          <w:bCs/>
          <w:kern w:val="0"/>
          <w:sz w:val="32"/>
          <w:szCs w:val="32"/>
        </w:rPr>
        <w:t>五、关于国有资本预算财政拨款支出决算情况说明</w:t>
      </w:r>
      <w:bookmarkEnd w:id="58"/>
      <w:bookmarkEnd w:id="59"/>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2024年度国有资本经营未安排预算支出。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Calibri" w:eastAsia="黑体" w:cs="Times New Roman"/>
          <w:b w:val="0"/>
          <w:bCs/>
          <w:kern w:val="0"/>
          <w:sz w:val="32"/>
          <w:szCs w:val="32"/>
          <w:lang w:val="en-US" w:eastAsia="zh-CN" w:bidi="ar-SA"/>
        </w:rPr>
      </w:pPr>
      <w:bookmarkStart w:id="60" w:name="_Toc672583027_WPSOffice_Level2"/>
      <w:bookmarkStart w:id="61" w:name="_Toc352280214_WPSOffice_Level2"/>
      <w:r>
        <w:rPr>
          <w:rFonts w:hint="eastAsia" w:ascii="黑体" w:hAnsi="Calibri" w:eastAsia="黑体" w:cs="Times New Roman"/>
          <w:b w:val="0"/>
          <w:bCs/>
          <w:kern w:val="0"/>
          <w:sz w:val="32"/>
          <w:szCs w:val="32"/>
          <w:lang w:val="en-US" w:eastAsia="zh-CN" w:bidi="ar-SA"/>
        </w:rPr>
        <w:t>六、财政拨款“三公”经费支出决算情况说明</w:t>
      </w:r>
      <w:bookmarkEnd w:id="60"/>
      <w:bookmarkEnd w:id="61"/>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2024年“三公”经费全年预算数为71.51万元，实际支出71.51万元，预算执行率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highlight w:val="none"/>
        </w:rPr>
        <w:t>%，较上年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10.43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12.73</w:t>
      </w:r>
      <w:r>
        <w:rPr>
          <w:rFonts w:hint="eastAsia" w:ascii="仿宋_GB2312" w:hAnsi="仿宋_GB2312" w:eastAsia="仿宋_GB2312" w:cs="仿宋_GB2312"/>
          <w:sz w:val="32"/>
          <w:szCs w:val="32"/>
          <w:highlight w:val="none"/>
        </w:rPr>
        <w:t>%。其中： 因公出国 （境）费17.62万元，完成全年预算数的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%，较上年增加</w:t>
      </w:r>
      <w:r>
        <w:rPr>
          <w:rFonts w:hint="eastAsia" w:ascii="仿宋_GB2312" w:hAnsi="仿宋_GB2312" w:eastAsia="仿宋_GB2312" w:cs="仿宋_GB2312"/>
          <w:sz w:val="32"/>
          <w:szCs w:val="32"/>
          <w:highlight w:val="none"/>
          <w:lang w:val="en-US" w:eastAsia="zh-CN"/>
        </w:rPr>
        <w:t>13.52</w:t>
      </w:r>
      <w:r>
        <w:rPr>
          <w:rFonts w:hint="eastAsia" w:ascii="仿宋_GB2312" w:hAnsi="仿宋_GB2312" w:eastAsia="仿宋_GB2312" w:cs="仿宋_GB2312"/>
          <w:sz w:val="32"/>
          <w:szCs w:val="32"/>
          <w:highlight w:val="none"/>
        </w:rPr>
        <w:t>万元，主要原因是本年出国任务增多，因公出国团组数较上年增加；公务用车购置及运行维护费</w:t>
      </w:r>
      <w:r>
        <w:rPr>
          <w:rFonts w:hint="eastAsia" w:ascii="仿宋_GB2312" w:hAnsi="仿宋_GB2312" w:eastAsia="仿宋_GB2312" w:cs="仿宋_GB2312"/>
          <w:sz w:val="32"/>
          <w:szCs w:val="32"/>
          <w:highlight w:val="none"/>
          <w:lang w:val="en-US" w:eastAsia="zh-CN"/>
        </w:rPr>
        <w:t>51.8</w:t>
      </w:r>
      <w:r>
        <w:rPr>
          <w:rFonts w:hint="eastAsia" w:ascii="仿宋_GB2312" w:hAnsi="仿宋_GB2312" w:eastAsia="仿宋_GB2312" w:cs="仿宋_GB2312"/>
          <w:sz w:val="32"/>
          <w:szCs w:val="32"/>
          <w:highlight w:val="none"/>
        </w:rPr>
        <w:t>万元， 完成全年预算数的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 较上年减少</w:t>
      </w:r>
      <w:r>
        <w:rPr>
          <w:rFonts w:hint="eastAsia" w:ascii="仿宋_GB2312" w:hAnsi="仿宋_GB2312" w:eastAsia="仿宋_GB2312" w:cs="仿宋_GB2312"/>
          <w:sz w:val="32"/>
          <w:szCs w:val="32"/>
          <w:highlight w:val="none"/>
          <w:lang w:val="en-US" w:eastAsia="zh-CN"/>
        </w:rPr>
        <w:t>24.1</w:t>
      </w:r>
      <w:r>
        <w:rPr>
          <w:rFonts w:hint="eastAsia" w:ascii="仿宋_GB2312" w:hAnsi="仿宋_GB2312" w:eastAsia="仿宋_GB2312" w:cs="仿宋_GB2312"/>
          <w:sz w:val="32"/>
          <w:szCs w:val="32"/>
          <w:highlight w:val="none"/>
        </w:rPr>
        <w:t>万元；公务接待费</w:t>
      </w:r>
      <w:r>
        <w:rPr>
          <w:rFonts w:hint="eastAsia" w:ascii="仿宋_GB2312" w:hAnsi="仿宋_GB2312" w:eastAsia="仿宋_GB2312" w:cs="仿宋_GB2312"/>
          <w:sz w:val="32"/>
          <w:szCs w:val="32"/>
          <w:highlight w:val="none"/>
          <w:lang w:val="en-US" w:eastAsia="zh-CN"/>
        </w:rPr>
        <w:t>2.09</w:t>
      </w:r>
      <w:r>
        <w:rPr>
          <w:rFonts w:hint="eastAsia" w:ascii="仿宋_GB2312" w:hAnsi="仿宋_GB2312" w:eastAsia="仿宋_GB2312" w:cs="仿宋_GB2312"/>
          <w:sz w:val="32"/>
          <w:szCs w:val="32"/>
          <w:highlight w:val="none"/>
        </w:rPr>
        <w:t>万元，完成全年预算数的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%，较上年</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lang w:val="en-US" w:eastAsia="zh-CN"/>
        </w:rPr>
        <w:t>0.15</w:t>
      </w:r>
      <w:r>
        <w:rPr>
          <w:rFonts w:hint="eastAsia" w:ascii="仿宋_GB2312" w:hAnsi="仿宋_GB2312" w:eastAsia="仿宋_GB2312" w:cs="仿宋_GB2312"/>
          <w:sz w:val="32"/>
          <w:szCs w:val="32"/>
          <w:highlight w:val="none"/>
        </w:rPr>
        <w:t>万元。具体情况</w:t>
      </w:r>
      <w:r>
        <w:rPr>
          <w:rFonts w:hint="eastAsia" w:ascii="仿宋_GB2312" w:hAnsi="仿宋_GB2312" w:eastAsia="仿宋_GB2312" w:cs="仿宋_GB2312"/>
          <w:sz w:val="32"/>
          <w:szCs w:val="32"/>
        </w:rPr>
        <w:t>如下：</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（一）因公出国 （境）费17.62万元， </w:t>
      </w:r>
      <w:r>
        <w:rPr>
          <w:rFonts w:hint="eastAsia" w:ascii="仿宋_GB2312" w:hAnsi="仿宋_GB2312" w:eastAsia="仿宋_GB2312" w:cs="仿宋_GB2312"/>
          <w:sz w:val="32"/>
          <w:szCs w:val="32"/>
          <w:highlight w:val="none"/>
        </w:rPr>
        <w:t>占财政拨款“三公”经费总数的</w:t>
      </w:r>
      <w:r>
        <w:rPr>
          <w:rFonts w:hint="eastAsia" w:ascii="仿宋_GB2312" w:hAnsi="仿宋_GB2312" w:eastAsia="仿宋_GB2312" w:cs="仿宋_GB2312"/>
          <w:sz w:val="32"/>
          <w:szCs w:val="32"/>
          <w:highlight w:val="none"/>
          <w:lang w:val="en-US" w:eastAsia="zh-CN"/>
        </w:rPr>
        <w:t>24.64</w:t>
      </w:r>
      <w:r>
        <w:rPr>
          <w:rFonts w:hint="eastAsia" w:ascii="仿宋_GB2312" w:hAnsi="仿宋_GB2312" w:eastAsia="仿宋_GB2312" w:cs="仿宋_GB2312"/>
          <w:sz w:val="32"/>
          <w:szCs w:val="32"/>
          <w:highlight w:val="none"/>
        </w:rPr>
        <w:t>%。因公出国 （境）</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人次</w:t>
      </w:r>
      <w:r>
        <w:rPr>
          <w:rFonts w:hint="eastAsia" w:ascii="仿宋_GB2312" w:hAnsi="仿宋_GB2312" w:eastAsia="仿宋_GB2312" w:cs="仿宋_GB2312"/>
          <w:sz w:val="32"/>
          <w:szCs w:val="32"/>
        </w:rPr>
        <w:t>，主要用于对外开展合作与交流事务，参加国际公约、协定的谈判和相关会议等支出。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（二）公务用车购置及运行维护费</w:t>
      </w:r>
      <w:r>
        <w:rPr>
          <w:rFonts w:hint="eastAsia" w:ascii="仿宋_GB2312" w:hAnsi="仿宋_GB2312" w:eastAsia="仿宋_GB2312" w:cs="仿宋_GB2312"/>
          <w:sz w:val="32"/>
          <w:szCs w:val="32"/>
          <w:lang w:val="en-US" w:eastAsia="zh-CN"/>
        </w:rPr>
        <w:t>51.8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占财政拨款“三公”经费总数的</w:t>
      </w:r>
      <w:r>
        <w:rPr>
          <w:rFonts w:hint="eastAsia" w:ascii="仿宋_GB2312" w:hAnsi="仿宋_GB2312" w:eastAsia="仿宋_GB2312" w:cs="仿宋_GB2312"/>
          <w:sz w:val="32"/>
          <w:szCs w:val="32"/>
          <w:highlight w:val="none"/>
          <w:lang w:val="en-US" w:eastAsia="zh-CN"/>
        </w:rPr>
        <w:t>72.44</w:t>
      </w:r>
      <w:r>
        <w:rPr>
          <w:rFonts w:hint="eastAsia" w:ascii="仿宋_GB2312" w:hAnsi="仿宋_GB2312" w:eastAsia="仿宋_GB2312" w:cs="仿宋_GB2312"/>
          <w:sz w:val="32"/>
          <w:szCs w:val="32"/>
          <w:highlight w:val="none"/>
        </w:rPr>
        <w:t>%。公务用车购置费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51.8</w:t>
      </w:r>
      <w:r>
        <w:rPr>
          <w:rFonts w:hint="eastAsia" w:ascii="仿宋_GB2312" w:hAnsi="仿宋_GB2312" w:eastAsia="仿宋_GB2312" w:cs="仿宋_GB2312"/>
          <w:sz w:val="32"/>
          <w:szCs w:val="32"/>
        </w:rPr>
        <w:t>万元，公务用车保有量为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辆，车均运行维护费</w:t>
      </w:r>
      <w:r>
        <w:rPr>
          <w:rFonts w:hint="eastAsia" w:ascii="仿宋_GB2312" w:hAnsi="仿宋_GB2312" w:eastAsia="仿宋_GB2312" w:cs="仿宋_GB2312"/>
          <w:sz w:val="32"/>
          <w:szCs w:val="32"/>
          <w:lang w:val="en-US" w:eastAsia="zh-CN"/>
        </w:rPr>
        <w:t>3.45</w:t>
      </w:r>
      <w:r>
        <w:rPr>
          <w:rFonts w:hint="eastAsia" w:ascii="仿宋_GB2312" w:hAnsi="仿宋_GB2312" w:eastAsia="仿宋_GB2312" w:cs="仿宋_GB2312"/>
          <w:sz w:val="32"/>
          <w:szCs w:val="32"/>
        </w:rPr>
        <w:t>万元，主要用于各单位机要文件交换、市内公务以及执法执勤活动发生的车辆燃料费、维修费、过桥过路费、保险费等。</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（三）公务接待费2.09万元，</w:t>
      </w:r>
      <w:r>
        <w:rPr>
          <w:rFonts w:hint="eastAsia" w:ascii="仿宋_GB2312" w:hAnsi="仿宋_GB2312" w:eastAsia="仿宋_GB2312" w:cs="仿宋_GB2312"/>
          <w:sz w:val="32"/>
          <w:szCs w:val="32"/>
          <w:highlight w:val="none"/>
        </w:rPr>
        <w:t>占财政拨款“三公”经费总数</w:t>
      </w:r>
      <w:r>
        <w:rPr>
          <w:rFonts w:hint="eastAsia" w:ascii="仿宋_GB2312" w:hAnsi="仿宋_GB2312" w:eastAsia="仿宋_GB2312" w:cs="仿宋_GB2312"/>
          <w:sz w:val="32"/>
          <w:szCs w:val="32"/>
          <w:highlight w:val="none"/>
          <w:lang w:val="en-US" w:eastAsia="zh-CN"/>
        </w:rPr>
        <w:t>2.92</w:t>
      </w:r>
      <w:r>
        <w:rPr>
          <w:rFonts w:hint="eastAsia" w:ascii="仿宋_GB2312" w:hAnsi="仿宋_GB2312" w:eastAsia="仿宋_GB2312" w:cs="仿宋_GB2312"/>
          <w:sz w:val="32"/>
          <w:szCs w:val="32"/>
          <w:highlight w:val="none"/>
        </w:rPr>
        <w:t>%。共接待</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 xml:space="preserve">批次、 </w:t>
      </w:r>
      <w:r>
        <w:rPr>
          <w:rFonts w:hint="eastAsia" w:ascii="仿宋_GB2312" w:hAnsi="仿宋_GB2312" w:eastAsia="仿宋_GB2312" w:cs="仿宋_GB2312"/>
          <w:sz w:val="32"/>
          <w:szCs w:val="32"/>
          <w:highlight w:val="none"/>
          <w:lang w:val="en-US" w:eastAsia="zh-CN"/>
        </w:rPr>
        <w:t>171</w:t>
      </w:r>
      <w:r>
        <w:rPr>
          <w:rFonts w:hint="eastAsia" w:ascii="仿宋_GB2312" w:hAnsi="仿宋_GB2312" w:eastAsia="仿宋_GB2312" w:cs="仿宋_GB2312"/>
          <w:sz w:val="32"/>
          <w:szCs w:val="32"/>
          <w:highlight w:val="none"/>
        </w:rPr>
        <w:t>人次。主要是按规定开支的各类公务接待支出。</w:t>
      </w:r>
    </w:p>
    <w:bookmarkEnd w:id="51"/>
    <w:p>
      <w:pPr>
        <w:keepNext w:val="0"/>
        <w:keepLines w:val="0"/>
        <w:pageBreakBefore w:val="0"/>
        <w:widowControl w:val="0"/>
        <w:tabs>
          <w:tab w:val="left" w:pos="1064"/>
        </w:tabs>
        <w:kinsoku/>
        <w:wordWrap/>
        <w:overflowPunct/>
        <w:topLinePunct w:val="0"/>
        <w:autoSpaceDE/>
        <w:autoSpaceDN/>
        <w:bidi w:val="0"/>
        <w:adjustRightInd w:val="0"/>
        <w:snapToGrid w:val="0"/>
        <w:spacing w:line="580" w:lineRule="exact"/>
        <w:ind w:firstLine="640" w:firstLineChars="200"/>
        <w:textAlignment w:val="auto"/>
        <w:outlineLvl w:val="1"/>
        <w:rPr>
          <w:rFonts w:hint="eastAsia" w:ascii="黑体" w:hAnsi="Calibri" w:eastAsia="黑体" w:cs="Times New Roman"/>
          <w:b w:val="0"/>
          <w:bCs/>
          <w:kern w:val="0"/>
          <w:sz w:val="32"/>
          <w:szCs w:val="32"/>
        </w:rPr>
      </w:pPr>
      <w:bookmarkStart w:id="62" w:name="_Toc340414320_WPSOffice_Level2"/>
      <w:bookmarkStart w:id="63" w:name="_Toc1842797428_WPSOffice_Level2"/>
      <w:bookmarkStart w:id="64" w:name="_Toc424398426"/>
      <w:r>
        <w:rPr>
          <w:rFonts w:hint="eastAsia" w:ascii="黑体" w:hAnsi="Calibri" w:eastAsia="黑体" w:cs="Times New Roman"/>
          <w:b w:val="0"/>
          <w:bCs/>
          <w:kern w:val="0"/>
          <w:sz w:val="32"/>
          <w:szCs w:val="32"/>
        </w:rPr>
        <w:t>七、其他重要事项情况说明</w:t>
      </w:r>
      <w:bookmarkEnd w:id="62"/>
      <w:bookmarkEnd w:id="63"/>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（一）机关运行经费支出</w:t>
      </w:r>
      <w:bookmarkStart w:id="68" w:name="_GoBack"/>
      <w:bookmarkEnd w:id="68"/>
      <w:r>
        <w:rPr>
          <w:rFonts w:hint="eastAsia" w:ascii="楷体" w:hAnsi="楷体" w:eastAsia="楷体" w:cs="楷体"/>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2024年度机关运行经费支出</w:t>
      </w:r>
      <w:r>
        <w:rPr>
          <w:rFonts w:hint="eastAsia" w:ascii="仿宋_GB2312" w:hAnsi="仿宋_GB2312" w:eastAsia="仿宋_GB2312" w:cs="仿宋_GB2312"/>
          <w:sz w:val="32"/>
          <w:szCs w:val="32"/>
          <w:lang w:val="en-US" w:eastAsia="zh-CN"/>
        </w:rPr>
        <w:t>1456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较上年</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3.56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与上年基本持平。</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（二）政府采购支出。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2024年度政府采购支出总额</w:t>
      </w:r>
      <w:r>
        <w:rPr>
          <w:rFonts w:hint="eastAsia" w:ascii="仿宋_GB2312" w:hAnsi="仿宋_GB2312" w:eastAsia="仿宋_GB2312" w:cs="仿宋_GB2312"/>
          <w:sz w:val="32"/>
          <w:szCs w:val="32"/>
          <w:lang w:val="en-US" w:eastAsia="zh-CN"/>
        </w:rPr>
        <w:t>12,493.45</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11,531.48</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557.58</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404.39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1,150.61</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9.21</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167.32</w:t>
      </w:r>
      <w:r>
        <w:rPr>
          <w:rFonts w:hint="eastAsia" w:ascii="仿宋_GB2312" w:hAnsi="仿宋_GB2312" w:eastAsia="仿宋_GB2312" w:cs="仿宋_GB2312"/>
          <w:sz w:val="32"/>
          <w:szCs w:val="32"/>
        </w:rPr>
        <w:t>万元，占授予中小企业合同金额的</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%；货物采购授予中小企业合同金额占货物支出金额的</w:t>
      </w:r>
      <w:r>
        <w:rPr>
          <w:rFonts w:hint="eastAsia" w:ascii="仿宋_GB2312" w:hAnsi="仿宋_GB2312" w:eastAsia="仿宋_GB2312" w:cs="仿宋_GB2312"/>
          <w:sz w:val="32"/>
          <w:szCs w:val="32"/>
          <w:highlight w:val="none"/>
          <w:lang w:val="en-US" w:eastAsia="zh-CN"/>
        </w:rPr>
        <w:t>32</w:t>
      </w:r>
      <w:r>
        <w:rPr>
          <w:rFonts w:hint="eastAsia" w:ascii="仿宋_GB2312" w:hAnsi="仿宋_GB2312" w:eastAsia="仿宋_GB2312" w:cs="仿宋_GB2312"/>
          <w:sz w:val="32"/>
          <w:szCs w:val="32"/>
          <w:highlight w:val="none"/>
        </w:rPr>
        <w:t>%，工程采购授予中小企业合同金额占工程支出金额的</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%，服务金额授予中小企业合同占服务支出金额的</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（三）国有资产占用情况。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截至2024年12月 31日，</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辆 （台），其中：机要通信用车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辆。单位价值100万元 （含）以上设备</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台 （套）。</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（四）2024年度预算绩效情况说明。</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1.预算绩效管理工作开展情况。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组织对2024年度一般公共预算项目支出全面开展绩效自评。其中：一级项目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12386.15</w:t>
      </w:r>
      <w:r>
        <w:rPr>
          <w:rFonts w:hint="eastAsia" w:ascii="仿宋_GB2312" w:hAnsi="仿宋_GB2312" w:eastAsia="仿宋_GB2312" w:cs="仿宋_GB2312"/>
          <w:sz w:val="32"/>
          <w:szCs w:val="32"/>
        </w:rPr>
        <w:t>万元，占一般公共预算项目支出总额的100%。</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2.部门决算中部分项目绩效自评结果。</w:t>
      </w:r>
    </w:p>
    <w:bookmarkEnd w:id="64"/>
    <w:p>
      <w:pPr>
        <w:rPr>
          <w:rFonts w:hint="eastAsia"/>
          <w:lang w:val="en-US" w:eastAsia="zh-CN"/>
        </w:rPr>
      </w:pPr>
      <w:bookmarkStart w:id="65" w:name="_Toc424398430"/>
    </w:p>
    <w:tbl>
      <w:tblPr>
        <w:tblStyle w:val="12"/>
        <w:tblW w:w="85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754"/>
        <w:gridCol w:w="990"/>
        <w:gridCol w:w="977"/>
        <w:gridCol w:w="758"/>
        <w:gridCol w:w="996"/>
        <w:gridCol w:w="571"/>
        <w:gridCol w:w="369"/>
        <w:gridCol w:w="605"/>
        <w:gridCol w:w="515"/>
        <w:gridCol w:w="505"/>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0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河北海事局本级海事巡逻船舶运行维护费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 交通运输部</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3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河北海事局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3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47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1.落实《直属海事系统舶管用养修管理办法（试行）》相关工作要求，保持船舶良好基础状态，保障船舶正常运行；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2.履行水上安全监管职责，组织开展船舶日常巡航、应急处置等工作。</w:t>
            </w:r>
          </w:p>
        </w:tc>
        <w:tc>
          <w:tcPr>
            <w:tcW w:w="33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1、做好船舶维护保养工作，保持船舶良好基础状态，确保了“船舶海巡041、海巡04603”正常运行。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2、完成了全年海上溢油应急待命值守工作，2024年辖区未发生一般等级以上污染事故，未接到出动指令，辖区海上溢油形势稳定。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运行维护船舶数量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≥2艘</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艘</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责任海区巡航的次数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辖区水域全覆盖巡航的次数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≥12次</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配备船员数量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≥10人</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巡航计划完成率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船舶总适航率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船舶完好率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应急处置响应率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重要活动时段内组织开展巡航值守的次数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维护国家主权，组织开展南海等水域专项巡航的次数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监管（服务）对象满意度</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监管（服务）对象满意度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783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bl>
    <w:p>
      <w:pPr>
        <w:rPr>
          <w:rFonts w:hint="eastAsia" w:ascii="仿宋_GB2312" w:hAnsi="宋体" w:cs="Times New Roman"/>
          <w:kern w:val="0"/>
          <w:sz w:val="32"/>
          <w:szCs w:val="32"/>
          <w:highlight w:val="none"/>
          <w:lang w:val="en-US" w:eastAsia="zh-CN" w:bidi="ar-SA"/>
        </w:rPr>
      </w:pPr>
    </w:p>
    <w:p>
      <w:pPr>
        <w:rPr>
          <w:rFonts w:hint="eastAsia" w:ascii="仿宋_GB2312" w:hAnsi="宋体" w:cs="Times New Roman"/>
          <w:kern w:val="0"/>
          <w:sz w:val="32"/>
          <w:szCs w:val="32"/>
          <w:highlight w:val="none"/>
          <w:lang w:val="en-US" w:eastAsia="zh-CN" w:bidi="ar-SA"/>
        </w:rPr>
      </w:pPr>
    </w:p>
    <w:p>
      <w:pPr>
        <w:adjustRightInd w:val="0"/>
        <w:snapToGrid w:val="0"/>
        <w:spacing w:line="600" w:lineRule="exact"/>
        <w:ind w:firstLine="600"/>
        <w:jc w:val="center"/>
        <w:rPr>
          <w:rFonts w:ascii="黑体" w:hAnsi="Calibri" w:eastAsia="黑体" w:cs="Times New Roman"/>
          <w:b/>
          <w:kern w:val="0"/>
          <w:sz w:val="32"/>
          <w:szCs w:val="32"/>
        </w:rPr>
      </w:pPr>
      <w:bookmarkStart w:id="66" w:name="_Toc699144020_WPSOffice_Level1"/>
      <w:r>
        <w:rPr>
          <w:rFonts w:hint="eastAsia" w:ascii="黑体" w:hAnsi="Calibri" w:eastAsia="黑体" w:cs="Times New Roman"/>
          <w:b/>
          <w:kern w:val="0"/>
          <w:sz w:val="36"/>
          <w:szCs w:val="36"/>
        </w:rPr>
        <w:t>第四部分 名词解释</w:t>
      </w:r>
      <w:bookmarkEnd w:id="65"/>
      <w:bookmarkEnd w:id="66"/>
    </w:p>
    <w:p>
      <w:pPr>
        <w:tabs>
          <w:tab w:val="left" w:pos="1138"/>
        </w:tabs>
        <w:adjustRightInd w:val="0"/>
        <w:snapToGrid w:val="0"/>
        <w:spacing w:line="600" w:lineRule="exact"/>
        <w:ind w:firstLine="640" w:firstLineChars="200"/>
        <w:rPr>
          <w:rFonts w:ascii="仿宋_GB2312" w:hAnsi="Times New Roman" w:eastAsia="仿宋_GB2312" w:cs="Times New Roman"/>
          <w:kern w:val="0"/>
          <w:sz w:val="32"/>
          <w:szCs w:val="32"/>
        </w:rPr>
      </w:pPr>
      <w:r>
        <w:rPr>
          <w:rFonts w:hint="eastAsia" w:ascii="黑体" w:hAnsi="黑体" w:eastAsia="黑体" w:cs="黑体"/>
          <w:bCs/>
          <w:kern w:val="0"/>
          <w:sz w:val="32"/>
          <w:szCs w:val="32"/>
        </w:rPr>
        <w:t>一、财政拨款收入：</w:t>
      </w:r>
      <w:r>
        <w:rPr>
          <w:rFonts w:hint="eastAsia" w:ascii="仿宋_GB2312" w:hAnsi="Times New Roman" w:eastAsia="仿宋_GB2312" w:cs="Times New Roman"/>
          <w:kern w:val="0"/>
          <w:sz w:val="32"/>
          <w:szCs w:val="32"/>
        </w:rPr>
        <w:t>指单位从同级政府财政部门取得的各类财政拨款。</w:t>
      </w:r>
    </w:p>
    <w:p>
      <w:pPr>
        <w:tabs>
          <w:tab w:val="left" w:pos="1138"/>
        </w:tabs>
        <w:adjustRightInd w:val="0"/>
        <w:snapToGrid w:val="0"/>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二、事业收入：</w:t>
      </w:r>
      <w:r>
        <w:rPr>
          <w:rFonts w:hint="eastAsia" w:ascii="仿宋_GB2312" w:hAnsi="仿宋_GB2312" w:eastAsia="仿宋_GB2312" w:cs="Times New Roman"/>
          <w:kern w:val="0"/>
          <w:sz w:val="32"/>
          <w:szCs w:val="32"/>
        </w:rPr>
        <w:t>指</w:t>
      </w:r>
      <w:r>
        <w:rPr>
          <w:rFonts w:hint="eastAsia" w:ascii="仿宋_GB2312" w:hAnsi="Calibri" w:eastAsia="仿宋_GB2312" w:cs="Times New Roman"/>
          <w:kern w:val="0"/>
          <w:sz w:val="32"/>
          <w:szCs w:val="32"/>
        </w:rPr>
        <w:t>事业单位开展专业业务活动及辅助活动所取得的收入</w:t>
      </w:r>
      <w:r>
        <w:rPr>
          <w:rFonts w:hint="eastAsia" w:ascii="仿宋_GB2312" w:hAnsi="仿宋_GB2312" w:eastAsia="仿宋_GB2312" w:cs="Times New Roman"/>
          <w:kern w:val="0"/>
          <w:sz w:val="32"/>
          <w:szCs w:val="32"/>
        </w:rPr>
        <w:t>。</w:t>
      </w:r>
    </w:p>
    <w:p>
      <w:pPr>
        <w:tabs>
          <w:tab w:val="left" w:pos="1138"/>
        </w:tabs>
        <w:adjustRightInd w:val="0"/>
        <w:snapToGrid w:val="0"/>
        <w:spacing w:line="600" w:lineRule="exact"/>
        <w:ind w:firstLine="640" w:firstLineChars="200"/>
        <w:rPr>
          <w:rFonts w:ascii="仿宋_GB2312" w:hAnsi="仿宋_GB2312" w:eastAsia="仿宋_GB2312" w:cs="Times New Roman"/>
          <w:kern w:val="0"/>
          <w:sz w:val="32"/>
          <w:szCs w:val="32"/>
        </w:rPr>
      </w:pPr>
      <w:r>
        <w:rPr>
          <w:rFonts w:hint="eastAsia" w:ascii="黑体" w:hAnsi="黑体" w:eastAsia="黑体" w:cs="黑体"/>
          <w:bCs/>
          <w:kern w:val="0"/>
          <w:sz w:val="32"/>
          <w:szCs w:val="32"/>
        </w:rPr>
        <w:t>三、经营收入：</w:t>
      </w:r>
      <w:r>
        <w:rPr>
          <w:rFonts w:hint="eastAsia" w:ascii="仿宋_GB2312" w:hAnsi="仿宋_GB2312" w:eastAsia="仿宋_GB2312" w:cs="Times New Roman"/>
          <w:kern w:val="0"/>
          <w:sz w:val="32"/>
          <w:szCs w:val="32"/>
        </w:rPr>
        <w:t>指</w:t>
      </w:r>
      <w:r>
        <w:rPr>
          <w:rFonts w:hint="eastAsia" w:ascii="仿宋_GB2312" w:hAnsi="Calibri" w:eastAsia="仿宋_GB2312" w:cs="Times New Roman"/>
          <w:kern w:val="0"/>
          <w:sz w:val="32"/>
          <w:szCs w:val="32"/>
        </w:rPr>
        <w:t>事业单位在专业业务活动及其辅助活动之外开展非独立核算经营活动所取得的收入</w:t>
      </w:r>
      <w:r>
        <w:rPr>
          <w:rFonts w:hint="eastAsia" w:ascii="仿宋_GB2312" w:hAnsi="仿宋_GB2312" w:eastAsia="仿宋_GB2312" w:cs="Times New Roman"/>
          <w:kern w:val="0"/>
          <w:sz w:val="32"/>
          <w:szCs w:val="32"/>
        </w:rPr>
        <w:t>。</w:t>
      </w:r>
    </w:p>
    <w:p>
      <w:pPr>
        <w:adjustRightInd w:val="0"/>
        <w:snapToGrid w:val="0"/>
        <w:spacing w:line="600" w:lineRule="exact"/>
        <w:ind w:firstLine="640" w:firstLineChars="200"/>
        <w:rPr>
          <w:rFonts w:ascii="仿宋_GB2312" w:hAnsi="仿宋_GB2312" w:eastAsia="仿宋_GB2312" w:cs="Times New Roman"/>
          <w:kern w:val="0"/>
          <w:sz w:val="32"/>
          <w:szCs w:val="32"/>
        </w:rPr>
      </w:pPr>
      <w:r>
        <w:rPr>
          <w:rFonts w:hint="eastAsia" w:ascii="黑体" w:hAnsi="黑体" w:eastAsia="黑体" w:cs="黑体"/>
          <w:bCs/>
          <w:kern w:val="0"/>
          <w:sz w:val="32"/>
          <w:szCs w:val="32"/>
        </w:rPr>
        <w:t>四、其他收入：</w:t>
      </w:r>
      <w:r>
        <w:rPr>
          <w:rFonts w:hint="eastAsia" w:ascii="仿宋_GB2312" w:hAnsi="仿宋_GB2312" w:eastAsia="仿宋_GB2312" w:cs="Times New Roman"/>
          <w:kern w:val="0"/>
          <w:sz w:val="32"/>
          <w:szCs w:val="32"/>
        </w:rPr>
        <w:t>指</w:t>
      </w:r>
      <w:r>
        <w:rPr>
          <w:rFonts w:hint="eastAsia" w:ascii="仿宋_GB2312" w:hAnsi="Calibri" w:eastAsia="仿宋_GB2312" w:cs="Times New Roman"/>
          <w:kern w:val="0"/>
          <w:sz w:val="32"/>
          <w:szCs w:val="32"/>
        </w:rPr>
        <w:t>除上述“财政拨款”、“事业收入”、“事业单位经营收入”、</w:t>
      </w:r>
      <w:r>
        <w:rPr>
          <w:rFonts w:hint="eastAsia" w:ascii="仿宋_GB2312" w:hAnsi="仿宋_GB2312" w:eastAsia="仿宋_GB2312" w:cs="Times New Roman"/>
          <w:kern w:val="0"/>
          <w:sz w:val="32"/>
          <w:szCs w:val="32"/>
        </w:rPr>
        <w:t>“附属单位上缴收入”</w:t>
      </w:r>
      <w:r>
        <w:rPr>
          <w:rFonts w:hint="eastAsia" w:ascii="仿宋_GB2312" w:hAnsi="Calibri" w:eastAsia="仿宋_GB2312" w:cs="Times New Roman"/>
          <w:kern w:val="0"/>
          <w:sz w:val="32"/>
          <w:szCs w:val="32"/>
        </w:rPr>
        <w:t>等以外的收入</w:t>
      </w:r>
      <w:r>
        <w:rPr>
          <w:rFonts w:hint="eastAsia" w:ascii="仿宋_GB2312" w:hAnsi="仿宋_GB2312" w:eastAsia="仿宋_GB2312" w:cs="Times New Roman"/>
          <w:kern w:val="0"/>
          <w:sz w:val="32"/>
          <w:szCs w:val="32"/>
        </w:rPr>
        <w:t>。</w:t>
      </w:r>
    </w:p>
    <w:p>
      <w:pPr>
        <w:adjustRightInd w:val="0"/>
        <w:snapToGrid w:val="0"/>
        <w:spacing w:line="600" w:lineRule="exact"/>
        <w:ind w:firstLine="640" w:firstLineChars="200"/>
        <w:rPr>
          <w:rFonts w:ascii="仿宋_GB2312" w:hAnsi="仿宋_GB2312" w:eastAsia="仿宋_GB2312" w:cs="Times New Roman"/>
          <w:kern w:val="0"/>
          <w:sz w:val="32"/>
          <w:szCs w:val="32"/>
        </w:rPr>
      </w:pPr>
      <w:r>
        <w:rPr>
          <w:rFonts w:hint="eastAsia" w:ascii="黑体" w:hAnsi="黑体" w:eastAsia="黑体" w:cs="黑体"/>
          <w:bCs/>
          <w:kern w:val="0"/>
          <w:sz w:val="32"/>
          <w:szCs w:val="32"/>
        </w:rPr>
        <w:t>五、使用非财政拨款结余：</w:t>
      </w:r>
      <w:r>
        <w:rPr>
          <w:rFonts w:hint="eastAsia" w:ascii="仿宋_GB2312" w:hAnsi="仿宋_GB2312" w:eastAsia="仿宋_GB2312" w:cs="Times New Roman"/>
          <w:kern w:val="0"/>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当年收支缺口的资金。</w:t>
      </w:r>
    </w:p>
    <w:p>
      <w:pPr>
        <w:adjustRightInd w:val="0"/>
        <w:snapToGrid w:val="0"/>
        <w:spacing w:line="600" w:lineRule="exact"/>
        <w:ind w:firstLine="640" w:firstLineChars="200"/>
        <w:rPr>
          <w:rFonts w:ascii="黑体" w:hAnsi="黑体" w:eastAsia="黑体" w:cs="黑体"/>
          <w:kern w:val="0"/>
          <w:sz w:val="32"/>
          <w:szCs w:val="32"/>
        </w:rPr>
      </w:pPr>
      <w:r>
        <w:rPr>
          <w:rFonts w:hint="eastAsia" w:ascii="黑体" w:hAnsi="黑体" w:eastAsia="黑体" w:cs="黑体"/>
          <w:bCs/>
          <w:kern w:val="0"/>
          <w:sz w:val="32"/>
          <w:szCs w:val="32"/>
        </w:rPr>
        <w:t>六、年初结转和结余</w:t>
      </w:r>
      <w:r>
        <w:rPr>
          <w:rFonts w:hint="eastAsia" w:ascii="黑体" w:hAnsi="黑体" w:eastAsia="黑体" w:cs="黑体"/>
          <w:b/>
          <w:bCs/>
          <w:kern w:val="0"/>
          <w:sz w:val="32"/>
          <w:szCs w:val="32"/>
        </w:rPr>
        <w:t>：</w:t>
      </w:r>
      <w:r>
        <w:rPr>
          <w:rFonts w:hint="eastAsia" w:ascii="仿宋_GB2312" w:hAnsi="仿宋_GB2312" w:eastAsia="仿宋_GB2312" w:cs="Times New Roman"/>
          <w:kern w:val="0"/>
          <w:sz w:val="32"/>
          <w:szCs w:val="32"/>
        </w:rPr>
        <w:t>指</w:t>
      </w:r>
      <w:r>
        <w:rPr>
          <w:rFonts w:hint="eastAsia" w:ascii="仿宋_GB2312" w:hAnsi="Calibri" w:eastAsia="仿宋_GB2312" w:cs="Times New Roman"/>
          <w:kern w:val="0"/>
          <w:sz w:val="32"/>
          <w:szCs w:val="32"/>
        </w:rPr>
        <w:t>以前年度尚未完成、结转到本年仍按原规定用途继续使用的资金。</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七、年末结转和结余：</w:t>
      </w:r>
      <w:r>
        <w:rPr>
          <w:rFonts w:hint="eastAsia" w:ascii="仿宋_GB2312" w:hAnsi="仿宋_GB2312" w:eastAsia="仿宋_GB2312" w:cs="Times New Roman"/>
          <w:kern w:val="0"/>
          <w:sz w:val="32"/>
          <w:szCs w:val="32"/>
        </w:rPr>
        <w:t>指</w:t>
      </w:r>
      <w:r>
        <w:rPr>
          <w:rFonts w:hint="eastAsia" w:ascii="仿宋_GB2312" w:hAnsi="Calibri" w:eastAsia="仿宋_GB2312" w:cs="Times New Roman"/>
          <w:kern w:val="0"/>
          <w:sz w:val="32"/>
          <w:szCs w:val="32"/>
        </w:rPr>
        <w:t>单位本年度或以前年度预算安排、因客观条件发生变化未全部执行或未执行，结转到以后年度继续使用的资金，或项目已完成等产生的结余资金。</w:t>
      </w:r>
    </w:p>
    <w:p>
      <w:pPr>
        <w:adjustRightInd w:val="0"/>
        <w:snapToGrid w:val="0"/>
        <w:spacing w:line="600" w:lineRule="exact"/>
        <w:ind w:firstLine="640" w:firstLineChars="200"/>
        <w:rPr>
          <w:rFonts w:ascii="黑体" w:hAnsi="黑体" w:eastAsia="黑体" w:cs="黑体"/>
          <w:bCs/>
          <w:kern w:val="0"/>
          <w:sz w:val="32"/>
          <w:szCs w:val="32"/>
        </w:rPr>
      </w:pPr>
      <w:bookmarkStart w:id="67" w:name="_Toc1599178129_WPSOffice_Level2"/>
      <w:r>
        <w:rPr>
          <w:rFonts w:hint="eastAsia" w:ascii="黑体" w:hAnsi="黑体" w:eastAsia="黑体" w:cs="黑体"/>
          <w:bCs/>
          <w:kern w:val="0"/>
          <w:sz w:val="32"/>
          <w:szCs w:val="32"/>
        </w:rPr>
        <w:t>九、社会保障和就业（类）行政事业单位养老（款）：</w:t>
      </w:r>
      <w:bookmarkEnd w:id="67"/>
    </w:p>
    <w:p>
      <w:pPr>
        <w:adjustRightInd w:val="0"/>
        <w:snapToGrid w:val="0"/>
        <w:spacing w:line="600" w:lineRule="exact"/>
        <w:ind w:firstLine="642" w:firstLineChars="200"/>
        <w:rPr>
          <w:rFonts w:ascii="仿宋_GB2312" w:hAnsi="Calibri" w:eastAsia="仿宋_GB2312" w:cs="Times New Roman"/>
          <w:kern w:val="0"/>
          <w:sz w:val="32"/>
          <w:szCs w:val="32"/>
        </w:rPr>
      </w:pPr>
      <w:r>
        <w:rPr>
          <w:rFonts w:hint="eastAsia" w:ascii="楷体_GB2312" w:hAnsi="楷体_GB2312" w:eastAsia="楷体_GB2312" w:cs="楷体_GB2312"/>
          <w:b/>
          <w:bCs/>
          <w:kern w:val="0"/>
          <w:sz w:val="32"/>
          <w:szCs w:val="32"/>
        </w:rPr>
        <w:t>（一）归口管理的行政单位离退休（项）：</w:t>
      </w:r>
      <w:r>
        <w:rPr>
          <w:rFonts w:hint="eastAsia" w:ascii="仿宋_GB2312" w:hAnsi="Calibri" w:eastAsia="仿宋_GB2312" w:cs="Times New Roman"/>
          <w:kern w:val="0"/>
          <w:sz w:val="32"/>
          <w:szCs w:val="32"/>
        </w:rPr>
        <w:t>指部属行政单位实行归口管理的离退休经费方面的支出。</w:t>
      </w:r>
    </w:p>
    <w:p>
      <w:pPr>
        <w:adjustRightInd w:val="0"/>
        <w:snapToGrid w:val="0"/>
        <w:spacing w:line="600" w:lineRule="exact"/>
        <w:ind w:firstLine="642" w:firstLineChars="200"/>
        <w:rPr>
          <w:rFonts w:ascii="仿宋_GB2312" w:hAnsi="Calibri" w:eastAsia="仿宋_GB2312" w:cs="Times New Roman"/>
          <w:kern w:val="0"/>
          <w:sz w:val="32"/>
          <w:szCs w:val="32"/>
        </w:rPr>
      </w:pPr>
      <w:r>
        <w:rPr>
          <w:rFonts w:hint="eastAsia" w:ascii="楷体_GB2312" w:hAnsi="楷体_GB2312" w:eastAsia="楷体_GB2312" w:cs="楷体_GB2312"/>
          <w:b/>
          <w:bCs/>
          <w:kern w:val="0"/>
          <w:sz w:val="32"/>
          <w:szCs w:val="32"/>
        </w:rPr>
        <w:t>（二）事业单位离退休（项）：</w:t>
      </w:r>
      <w:r>
        <w:rPr>
          <w:rFonts w:hint="eastAsia" w:ascii="仿宋_GB2312" w:hAnsi="Calibri" w:eastAsia="仿宋_GB2312" w:cs="Times New Roman"/>
          <w:kern w:val="0"/>
          <w:sz w:val="32"/>
          <w:szCs w:val="32"/>
        </w:rPr>
        <w:t>指用于部属事业单位离退休方面的支出。</w:t>
      </w:r>
    </w:p>
    <w:p>
      <w:pPr>
        <w:adjustRightInd w:val="0"/>
        <w:snapToGrid w:val="0"/>
        <w:spacing w:line="600" w:lineRule="exact"/>
        <w:ind w:firstLine="642" w:firstLineChars="200"/>
        <w:rPr>
          <w:rFonts w:ascii="仿宋_GB2312" w:hAnsi="Calibri" w:eastAsia="仿宋_GB2312" w:cs="Times New Roman"/>
          <w:kern w:val="0"/>
          <w:sz w:val="32"/>
          <w:szCs w:val="32"/>
        </w:rPr>
      </w:pPr>
      <w:r>
        <w:rPr>
          <w:rFonts w:hint="eastAsia" w:ascii="楷体_GB2312" w:hAnsi="楷体_GB2312" w:eastAsia="楷体_GB2312" w:cs="楷体_GB2312"/>
          <w:b/>
          <w:bCs/>
          <w:kern w:val="0"/>
          <w:sz w:val="32"/>
          <w:szCs w:val="32"/>
        </w:rPr>
        <w:t>（三）机关事业单位基本养老保险缴费支出（项）：</w:t>
      </w:r>
      <w:r>
        <w:rPr>
          <w:rFonts w:hint="eastAsia" w:ascii="仿宋_GB2312" w:hAnsi="Calibri" w:eastAsia="仿宋_GB2312" w:cs="Times New Roman"/>
          <w:kern w:val="0"/>
          <w:sz w:val="32"/>
          <w:szCs w:val="32"/>
        </w:rPr>
        <w:t>按照机关事业单位实施养老保险制度由部属行政事业单位缴纳的基本养老保险支出。</w:t>
      </w:r>
    </w:p>
    <w:p>
      <w:pPr>
        <w:adjustRightInd w:val="0"/>
        <w:snapToGrid w:val="0"/>
        <w:spacing w:line="600" w:lineRule="exact"/>
        <w:ind w:firstLine="642" w:firstLineChars="200"/>
        <w:rPr>
          <w:rFonts w:ascii="仿宋_GB2312" w:hAnsi="Calibri" w:eastAsia="仿宋_GB2312" w:cs="Times New Roman"/>
          <w:kern w:val="0"/>
          <w:sz w:val="32"/>
          <w:szCs w:val="32"/>
        </w:rPr>
      </w:pPr>
      <w:r>
        <w:rPr>
          <w:rFonts w:hint="eastAsia" w:ascii="楷体_GB2312" w:hAnsi="楷体_GB2312" w:eastAsia="楷体_GB2312" w:cs="楷体_GB2312"/>
          <w:b/>
          <w:bCs/>
          <w:kern w:val="0"/>
          <w:sz w:val="32"/>
          <w:szCs w:val="32"/>
        </w:rPr>
        <w:t>（四）机关事业单位职业年金缴费支出（项）：</w:t>
      </w:r>
      <w:r>
        <w:rPr>
          <w:rFonts w:hint="eastAsia" w:ascii="仿宋_GB2312" w:hAnsi="Calibri" w:eastAsia="仿宋_GB2312" w:cs="Times New Roman"/>
          <w:kern w:val="0"/>
          <w:sz w:val="32"/>
          <w:szCs w:val="32"/>
        </w:rPr>
        <w:t>按照机关事业单位实施养老保险制度由部属行政事业单位缴纳职业年金支出。</w:t>
      </w:r>
    </w:p>
    <w:p>
      <w:pPr>
        <w:adjustRightInd w:val="0"/>
        <w:snapToGrid w:val="0"/>
        <w:spacing w:line="600" w:lineRule="exact"/>
        <w:ind w:firstLine="642" w:firstLineChars="200"/>
        <w:rPr>
          <w:rFonts w:ascii="楷体_GB2312" w:hAnsi="楷体_GB2312" w:eastAsia="楷体_GB2312" w:cs="楷体_GB2312"/>
          <w:b/>
          <w:kern w:val="0"/>
          <w:sz w:val="32"/>
          <w:szCs w:val="32"/>
        </w:rPr>
      </w:pPr>
      <w:r>
        <w:rPr>
          <w:rFonts w:hint="eastAsia" w:ascii="黑体" w:hAnsi="黑体" w:eastAsia="黑体" w:cs="黑体"/>
          <w:b/>
          <w:kern w:val="0"/>
          <w:sz w:val="32"/>
          <w:szCs w:val="32"/>
        </w:rPr>
        <w:t>九、交通运输（类）公路水路运输（款）：</w:t>
      </w:r>
      <w:r>
        <w:rPr>
          <w:rFonts w:hint="eastAsia" w:ascii="楷体_GB2312" w:hAnsi="楷体_GB2312" w:eastAsia="楷体_GB2312" w:cs="楷体_GB2312"/>
          <w:b/>
          <w:kern w:val="0"/>
          <w:sz w:val="32"/>
          <w:szCs w:val="32"/>
        </w:rPr>
        <w:t xml:space="preserve"> </w:t>
      </w:r>
    </w:p>
    <w:p>
      <w:pPr>
        <w:adjustRightInd w:val="0"/>
        <w:snapToGrid w:val="0"/>
        <w:spacing w:line="600" w:lineRule="exact"/>
        <w:ind w:firstLine="642" w:firstLineChars="200"/>
        <w:rPr>
          <w:rFonts w:ascii="仿宋_GB2312" w:hAnsi="Calibri" w:eastAsia="仿宋_GB2312" w:cs="Times New Roman"/>
          <w:kern w:val="0"/>
          <w:sz w:val="32"/>
          <w:szCs w:val="32"/>
        </w:rPr>
      </w:pPr>
      <w:r>
        <w:rPr>
          <w:rFonts w:hint="eastAsia" w:ascii="楷体_GB2312" w:hAnsi="楷体_GB2312" w:eastAsia="楷体_GB2312" w:cs="楷体_GB2312"/>
          <w:b/>
          <w:bCs/>
          <w:kern w:val="0"/>
          <w:sz w:val="32"/>
          <w:szCs w:val="32"/>
        </w:rPr>
        <w:t>（一）海事管理（项）：</w:t>
      </w:r>
      <w:r>
        <w:rPr>
          <w:rFonts w:hint="eastAsia" w:ascii="仿宋_GB2312" w:hAnsi="Calibri" w:eastAsia="仿宋_GB2312" w:cs="Times New Roman"/>
          <w:kern w:val="0"/>
          <w:sz w:val="32"/>
          <w:szCs w:val="32"/>
        </w:rPr>
        <w:t>指用于海事执法和安全管理方面的支出。</w:t>
      </w:r>
    </w:p>
    <w:p>
      <w:pPr>
        <w:adjustRightInd w:val="0"/>
        <w:snapToGrid w:val="0"/>
        <w:spacing w:line="600" w:lineRule="exact"/>
        <w:ind w:firstLine="642" w:firstLineChars="200"/>
        <w:rPr>
          <w:rFonts w:ascii="仿宋_GB2312" w:hAnsi="Calibri" w:eastAsia="仿宋_GB2312" w:cs="Times New Roman"/>
          <w:kern w:val="0"/>
          <w:sz w:val="32"/>
          <w:szCs w:val="32"/>
        </w:rPr>
      </w:pPr>
      <w:r>
        <w:rPr>
          <w:rFonts w:hint="eastAsia" w:ascii="楷体_GB2312" w:hAnsi="楷体_GB2312" w:eastAsia="楷体_GB2312" w:cs="楷体_GB2312"/>
          <w:b/>
          <w:bCs/>
          <w:kern w:val="0"/>
          <w:sz w:val="32"/>
          <w:szCs w:val="32"/>
        </w:rPr>
        <w:t>（三）其他公路水路运输支出（项）：</w:t>
      </w:r>
      <w:r>
        <w:rPr>
          <w:rFonts w:hint="eastAsia" w:ascii="仿宋_GB2312" w:hAnsi="Calibri" w:eastAsia="仿宋_GB2312" w:cs="Times New Roman"/>
          <w:kern w:val="0"/>
          <w:sz w:val="32"/>
          <w:szCs w:val="32"/>
        </w:rPr>
        <w:t>指除上述项目之外的用于其他公路水路运输事务的支出。</w:t>
      </w:r>
    </w:p>
    <w:p>
      <w:pPr>
        <w:adjustRightInd w:val="0"/>
        <w:snapToGrid w:val="0"/>
        <w:spacing w:line="600" w:lineRule="exact"/>
        <w:ind w:firstLine="642" w:firstLineChars="200"/>
        <w:rPr>
          <w:rFonts w:ascii="黑体" w:hAnsi="黑体" w:eastAsia="黑体" w:cs="黑体"/>
          <w:bCs/>
          <w:kern w:val="0"/>
          <w:sz w:val="32"/>
          <w:szCs w:val="32"/>
        </w:rPr>
      </w:pPr>
      <w:r>
        <w:rPr>
          <w:rFonts w:hint="eastAsia" w:ascii="黑体" w:hAnsi="黑体" w:eastAsia="黑体" w:cs="黑体"/>
          <w:b/>
          <w:kern w:val="0"/>
          <w:sz w:val="32"/>
          <w:szCs w:val="32"/>
        </w:rPr>
        <w:t>十、住房保障支出（类）住房改革支出（款）</w:t>
      </w:r>
      <w:r>
        <w:rPr>
          <w:rFonts w:hint="eastAsia" w:ascii="黑体" w:hAnsi="黑体" w:eastAsia="黑体" w:cs="黑体"/>
          <w:bCs/>
          <w:kern w:val="0"/>
          <w:sz w:val="32"/>
          <w:szCs w:val="32"/>
        </w:rPr>
        <w:t>：</w:t>
      </w:r>
    </w:p>
    <w:p>
      <w:pPr>
        <w:adjustRightInd w:val="0"/>
        <w:snapToGrid w:val="0"/>
        <w:spacing w:line="600" w:lineRule="exact"/>
        <w:ind w:firstLine="642" w:firstLineChars="200"/>
        <w:rPr>
          <w:rFonts w:ascii="仿宋_GB2312" w:hAnsi="Calibri" w:eastAsia="仿宋_GB2312" w:cs="Times New Roman"/>
          <w:bCs/>
          <w:kern w:val="0"/>
          <w:sz w:val="32"/>
          <w:szCs w:val="32"/>
        </w:rPr>
      </w:pPr>
      <w:r>
        <w:rPr>
          <w:rFonts w:hint="eastAsia" w:ascii="楷体_GB2312" w:hAnsi="楷体_GB2312" w:eastAsia="楷体_GB2312" w:cs="楷体_GB2312"/>
          <w:b/>
          <w:bCs/>
          <w:kern w:val="0"/>
          <w:sz w:val="32"/>
          <w:szCs w:val="32"/>
        </w:rPr>
        <w:t>（一）住房公积金（项）</w:t>
      </w:r>
      <w:r>
        <w:rPr>
          <w:rFonts w:hint="eastAsia" w:ascii="仿宋_GB2312" w:hAnsi="Calibri" w:eastAsia="仿宋_GB2312" w:cs="Times New Roman"/>
          <w:b/>
          <w:bCs/>
          <w:kern w:val="0"/>
          <w:sz w:val="32"/>
          <w:szCs w:val="32"/>
        </w:rPr>
        <w:t>：</w:t>
      </w:r>
      <w:r>
        <w:rPr>
          <w:rFonts w:hint="eastAsia" w:ascii="仿宋_GB2312" w:hAnsi="Calibri" w:eastAsia="仿宋_GB2312" w:cs="Times New Roman"/>
          <w:bCs/>
          <w:kern w:val="0"/>
          <w:sz w:val="32"/>
          <w:szCs w:val="32"/>
        </w:rPr>
        <w:t>反映行政事业单位按人力资源和社会保障部、财政部规定的基本工资和津贴补贴以及规定比例为职工缴纳的住房公积金。</w:t>
      </w:r>
    </w:p>
    <w:p>
      <w:pPr>
        <w:adjustRightInd w:val="0"/>
        <w:snapToGrid w:val="0"/>
        <w:spacing w:line="600" w:lineRule="exact"/>
        <w:ind w:firstLine="642" w:firstLineChars="200"/>
        <w:rPr>
          <w:rFonts w:ascii="仿宋_GB2312" w:hAnsi="Calibri" w:eastAsia="仿宋_GB2312" w:cs="Times New Roman"/>
          <w:bCs/>
          <w:kern w:val="0"/>
          <w:sz w:val="32"/>
          <w:szCs w:val="32"/>
        </w:rPr>
      </w:pPr>
      <w:r>
        <w:rPr>
          <w:rFonts w:hint="eastAsia" w:ascii="楷体_GB2312" w:hAnsi="楷体_GB2312" w:eastAsia="楷体_GB2312" w:cs="楷体_GB2312"/>
          <w:b/>
          <w:bCs/>
          <w:kern w:val="0"/>
          <w:sz w:val="32"/>
          <w:szCs w:val="32"/>
        </w:rPr>
        <w:t>（三）购房补贴（项）：</w:t>
      </w:r>
      <w:r>
        <w:rPr>
          <w:rFonts w:hint="eastAsia" w:ascii="仿宋_GB2312" w:hAnsi="Calibri" w:eastAsia="仿宋_GB2312" w:cs="Times New Roman"/>
          <w:bCs/>
          <w:kern w:val="0"/>
          <w:sz w:val="32"/>
          <w:szCs w:val="32"/>
        </w:rPr>
        <w:t>反映按房改政策规定，行政事业单位向符合条件职工（含离退休人员）、军队（含武警）向转役复员离退休人员发放的用于购买住房的补贴。</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十一、“三公”经费：</w:t>
      </w:r>
      <w:r>
        <w:rPr>
          <w:rFonts w:hint="eastAsia" w:ascii="仿宋_GB2312" w:hAnsi="Calibri" w:eastAsia="仿宋_GB2312" w:cs="Times New Roman"/>
          <w:kern w:val="0"/>
          <w:sz w:val="32"/>
          <w:szCs w:val="32"/>
        </w:rPr>
        <w:t>纳入中央财政预决算管理的“三公”经费，是指中央部门用财政拨款安排的因公出国（境）费、公务用车购置运行费和公务接待费。其中，因公出国（境）费指单位公务出国（境）的住宿费、旅费、伙食补助费、杂费、培训费等支出；公务用车购置运行费指单位公务用车购置费及租用费、燃料费、维修费、过路过桥费、保险费、安全奖励费用等支出；公务接待费指单位按规定开支的各类接待（含外宾接待）支出。</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十二、机关运行经费：</w:t>
      </w:r>
      <w:r>
        <w:rPr>
          <w:rFonts w:hint="eastAsia" w:ascii="仿宋_GB2312" w:hAnsi="Calibri" w:eastAsia="仿宋_GB2312" w:cs="Times New Roman"/>
          <w:kern w:val="0"/>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十三、结转下年：</w:t>
      </w:r>
      <w:r>
        <w:rPr>
          <w:rFonts w:hint="eastAsia" w:ascii="仿宋_GB2312" w:hAnsi="Calibri" w:eastAsia="仿宋_GB2312" w:cs="Times New Roman"/>
          <w:kern w:val="0"/>
          <w:sz w:val="32"/>
          <w:szCs w:val="32"/>
        </w:rPr>
        <w:t>指以前年度预算安排、因客观条件发生变化无法按原计划实施，需延迟到以后年度按原规定用途继续使用的资金。</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十四、基本支出：</w:t>
      </w:r>
      <w:r>
        <w:rPr>
          <w:rFonts w:hint="eastAsia" w:ascii="仿宋_GB2312" w:hAnsi="Calibri" w:eastAsia="仿宋_GB2312" w:cs="Times New Roman"/>
          <w:kern w:val="0"/>
          <w:sz w:val="32"/>
          <w:szCs w:val="32"/>
        </w:rPr>
        <w:t>指为保障机构正常运转、完成日常工作任务而发生的人员支出和公用支出。</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十五、项目支出：</w:t>
      </w:r>
      <w:r>
        <w:rPr>
          <w:rFonts w:hint="eastAsia" w:ascii="仿宋_GB2312" w:hAnsi="Calibri" w:eastAsia="仿宋_GB2312" w:cs="Times New Roman"/>
          <w:kern w:val="0"/>
          <w:sz w:val="32"/>
          <w:szCs w:val="32"/>
        </w:rPr>
        <w:t>指在基本支出之外为完成特定行政任务和事业发展目标所发生的支出。</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十六、经营支出：</w:t>
      </w:r>
      <w:r>
        <w:rPr>
          <w:rFonts w:hint="eastAsia" w:ascii="仿宋_GB2312" w:hAnsi="Calibri" w:eastAsia="仿宋_GB2312" w:cs="Times New Roman"/>
          <w:kern w:val="0"/>
          <w:sz w:val="32"/>
          <w:szCs w:val="32"/>
        </w:rPr>
        <w:t>指事业单位在专业业务活动及其辅助活动之外开展非独立核算经营活动发生的支出。</w:t>
      </w:r>
    </w:p>
    <w:p>
      <w:pPr>
        <w:snapToGrid w:val="0"/>
        <w:rPr>
          <w:rFonts w:ascii="仿宋_GB2312" w:hAnsi="仿宋_GB2312" w:eastAsia="仿宋_GB2312" w:cs="Times New Roman"/>
          <w:color w:val="000000"/>
          <w:kern w:val="0"/>
          <w:sz w:val="32"/>
        </w:rPr>
      </w:pPr>
    </w:p>
    <w:p>
      <w:pPr>
        <w:snapToGrid w:val="0"/>
        <w:rPr>
          <w:rFonts w:ascii="仿宋_GB2312" w:hAnsi="仿宋_GB2312" w:eastAsia="仿宋_GB2312" w:cs="Times New Roman"/>
          <w:color w:val="000000"/>
          <w:kern w:val="0"/>
          <w:sz w:val="32"/>
        </w:rPr>
      </w:pPr>
    </w:p>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Tahoma">
    <w:altName w:val="Droid Sans"/>
    <w:panose1 w:val="020B0604030504040204"/>
    <w:charset w:val="00"/>
    <w:family w:val="auto"/>
    <w:pitch w:val="default"/>
    <w:sig w:usb0="00000000" w:usb1="00000000" w:usb2="00000029" w:usb3="00000000" w:csb0="200101FF" w:csb1="2028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32"/>
                              <w:szCs w:val="32"/>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仿宋" w:hAnsi="仿宋" w:eastAsia="仿宋" w:cs="仿宋"/>
                        <w:sz w:val="32"/>
                        <w:szCs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32"/>
                              <w:szCs w:val="32"/>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仿宋" w:hAnsi="仿宋" w:eastAsia="仿宋" w:cs="仿宋"/>
                        <w:sz w:val="32"/>
                        <w:szCs w:val="3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F49D8"/>
    <w:multiLevelType w:val="singleLevel"/>
    <w:tmpl w:val="3B3F49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MmNiMDgwYTkwZGYwMGZkMWM0MTMyY2RiOGU5MGQifQ=="/>
  </w:docVars>
  <w:rsids>
    <w:rsidRoot w:val="003215E4"/>
    <w:rsid w:val="003215E4"/>
    <w:rsid w:val="00467E1D"/>
    <w:rsid w:val="00647C8F"/>
    <w:rsid w:val="00770447"/>
    <w:rsid w:val="00852DCF"/>
    <w:rsid w:val="00D13CA4"/>
    <w:rsid w:val="00D4066C"/>
    <w:rsid w:val="01446BC5"/>
    <w:rsid w:val="026E270A"/>
    <w:rsid w:val="031F6F80"/>
    <w:rsid w:val="094E2C59"/>
    <w:rsid w:val="11D32E4A"/>
    <w:rsid w:val="14694C0A"/>
    <w:rsid w:val="1A7E5045"/>
    <w:rsid w:val="1B742AD4"/>
    <w:rsid w:val="1C6136A4"/>
    <w:rsid w:val="1D690A4F"/>
    <w:rsid w:val="1E651BEC"/>
    <w:rsid w:val="246D643B"/>
    <w:rsid w:val="273E22EF"/>
    <w:rsid w:val="298A1EB4"/>
    <w:rsid w:val="2B8B28FE"/>
    <w:rsid w:val="2FFEAE47"/>
    <w:rsid w:val="31F93136"/>
    <w:rsid w:val="36D67D9E"/>
    <w:rsid w:val="381B4867"/>
    <w:rsid w:val="38367B3E"/>
    <w:rsid w:val="39FB765F"/>
    <w:rsid w:val="3B142DFB"/>
    <w:rsid w:val="3B211D39"/>
    <w:rsid w:val="3ECA2765"/>
    <w:rsid w:val="3FFB63BA"/>
    <w:rsid w:val="40223562"/>
    <w:rsid w:val="443C0206"/>
    <w:rsid w:val="491102ED"/>
    <w:rsid w:val="4A8B1FE7"/>
    <w:rsid w:val="4B79709E"/>
    <w:rsid w:val="4D8A04C7"/>
    <w:rsid w:val="4E5E123E"/>
    <w:rsid w:val="51377BDE"/>
    <w:rsid w:val="53B77847"/>
    <w:rsid w:val="55F61483"/>
    <w:rsid w:val="56B24D4F"/>
    <w:rsid w:val="59D949F9"/>
    <w:rsid w:val="5C9D9447"/>
    <w:rsid w:val="5D9205BD"/>
    <w:rsid w:val="5E57635A"/>
    <w:rsid w:val="5EB33357"/>
    <w:rsid w:val="5EC9AE6E"/>
    <w:rsid w:val="5F8B137E"/>
    <w:rsid w:val="60BE52B9"/>
    <w:rsid w:val="61166880"/>
    <w:rsid w:val="64154A4E"/>
    <w:rsid w:val="64A97265"/>
    <w:rsid w:val="65A619C2"/>
    <w:rsid w:val="692D1AE1"/>
    <w:rsid w:val="6F175262"/>
    <w:rsid w:val="6F577108"/>
    <w:rsid w:val="6F7F1B0C"/>
    <w:rsid w:val="720C6738"/>
    <w:rsid w:val="734A219E"/>
    <w:rsid w:val="773D1B30"/>
    <w:rsid w:val="78A07AD8"/>
    <w:rsid w:val="7AAEFF5D"/>
    <w:rsid w:val="7BDF8226"/>
    <w:rsid w:val="7BDFB2A3"/>
    <w:rsid w:val="7BF75430"/>
    <w:rsid w:val="7C5D6206"/>
    <w:rsid w:val="7DE33D13"/>
    <w:rsid w:val="7FFDD4CF"/>
    <w:rsid w:val="7FFFD1C3"/>
    <w:rsid w:val="8DCECFC7"/>
    <w:rsid w:val="9DBA6266"/>
    <w:rsid w:val="A77DF010"/>
    <w:rsid w:val="BA7D6948"/>
    <w:rsid w:val="BBFF4ADF"/>
    <w:rsid w:val="BF94369F"/>
    <w:rsid w:val="BFDE8660"/>
    <w:rsid w:val="D3BE8CBC"/>
    <w:rsid w:val="DFEFF799"/>
    <w:rsid w:val="DFF53893"/>
    <w:rsid w:val="EDF7E115"/>
    <w:rsid w:val="F0EDF5F0"/>
    <w:rsid w:val="F3FF6B9E"/>
    <w:rsid w:val="F667C581"/>
    <w:rsid w:val="F7EE19A2"/>
    <w:rsid w:val="FDFA0189"/>
    <w:rsid w:val="FE9FC5B2"/>
    <w:rsid w:val="FEF79ACB"/>
    <w:rsid w:val="FF3F527D"/>
    <w:rsid w:val="FFDEC0A0"/>
    <w:rsid w:val="FFFE5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unhideWhenUsed/>
    <w:qFormat/>
    <w:uiPriority w:val="0"/>
    <w:pPr>
      <w:widowControl/>
      <w:snapToGrid w:val="0"/>
      <w:spacing w:beforeLines="50" w:afterLines="50" w:line="360" w:lineRule="auto"/>
      <w:jc w:val="center"/>
      <w:outlineLvl w:val="1"/>
    </w:pPr>
    <w:rPr>
      <w:rFonts w:ascii="宋体" w:hAnsi="宋体" w:eastAsia="仿宋_GB2312" w:cs="宋体"/>
      <w:b/>
      <w:color w:val="000000"/>
      <w:kern w:val="0"/>
      <w:sz w:val="30"/>
      <w:szCs w:val="30"/>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0"/>
    <w:pPr>
      <w:snapToGrid w:val="0"/>
      <w:spacing w:after="120"/>
      <w:ind w:left="1440" w:leftChars="700" w:right="1440" w:rightChars="700"/>
    </w:pPr>
    <w:rPr>
      <w:rFonts w:ascii="Calibri" w:hAnsi="Calibri" w:eastAsia="仿宋_GB2312" w:cs="Times New Roman"/>
      <w:kern w:val="0"/>
      <w:sz w:val="32"/>
    </w:rPr>
  </w:style>
  <w:style w:type="paragraph" w:styleId="4">
    <w:name w:val="Body Text"/>
    <w:basedOn w:val="1"/>
    <w:link w:val="21"/>
    <w:unhideWhenUsed/>
    <w:qFormat/>
    <w:uiPriority w:val="0"/>
    <w:pPr>
      <w:snapToGrid w:val="0"/>
      <w:spacing w:before="5"/>
      <w:ind w:left="101"/>
    </w:pPr>
    <w:rPr>
      <w:rFonts w:ascii="仿宋_GB2312" w:hAnsi="仿宋_GB2312" w:eastAsia="仿宋_GB2312" w:cs="仿宋_GB2312"/>
      <w:kern w:val="0"/>
      <w:sz w:val="32"/>
      <w:szCs w:val="32"/>
      <w:lang w:val="zh-CN" w:bidi="zh-CN"/>
    </w:rPr>
  </w:style>
  <w:style w:type="paragraph" w:styleId="5">
    <w:name w:val="Plain Text"/>
    <w:basedOn w:val="1"/>
    <w:qFormat/>
    <w:uiPriority w:val="0"/>
    <w:rPr>
      <w:rFonts w:ascii="宋体" w:hAnsi="Courier New"/>
    </w:rPr>
  </w:style>
  <w:style w:type="paragraph" w:styleId="6">
    <w:name w:val="footer"/>
    <w:basedOn w:val="1"/>
    <w:link w:val="19"/>
    <w:unhideWhenUsed/>
    <w:qFormat/>
    <w:uiPriority w:val="0"/>
    <w:pPr>
      <w:tabs>
        <w:tab w:val="center" w:pos="4153"/>
        <w:tab w:val="right" w:pos="8306"/>
      </w:tabs>
      <w:snapToGrid w:val="0"/>
      <w:jc w:val="left"/>
    </w:pPr>
    <w:rPr>
      <w:rFonts w:ascii="Calibri" w:hAnsi="Calibri" w:eastAsia="仿宋_GB2312" w:cs="Times New Roman"/>
      <w:sz w:val="18"/>
      <w:szCs w:val="18"/>
    </w:rPr>
  </w:style>
  <w:style w:type="paragraph" w:styleId="7">
    <w:name w:val="header"/>
    <w:basedOn w:val="1"/>
    <w:link w:val="18"/>
    <w:unhideWhenUsed/>
    <w:qFormat/>
    <w:uiPriority w:val="0"/>
    <w:pPr>
      <w:tabs>
        <w:tab w:val="center" w:pos="4153"/>
        <w:tab w:val="right" w:pos="8306"/>
      </w:tabs>
      <w:snapToGrid w:val="0"/>
    </w:pPr>
    <w:rPr>
      <w:rFonts w:ascii="Calibri" w:hAnsi="Calibri" w:eastAsia="仿宋_GB2312" w:cs="Times New Roman"/>
      <w:kern w:val="0"/>
      <w:sz w:val="18"/>
    </w:rPr>
  </w:style>
  <w:style w:type="paragraph" w:styleId="8">
    <w:name w:val="toc 1"/>
    <w:basedOn w:val="1"/>
    <w:next w:val="1"/>
    <w:unhideWhenUsed/>
    <w:qFormat/>
    <w:uiPriority w:val="0"/>
    <w:pPr>
      <w:tabs>
        <w:tab w:val="right" w:leader="dot" w:pos="8509"/>
      </w:tabs>
      <w:adjustRightInd w:val="0"/>
      <w:snapToGrid w:val="0"/>
      <w:spacing w:line="520" w:lineRule="exact"/>
      <w:jc w:val="center"/>
    </w:pPr>
    <w:rPr>
      <w:rFonts w:ascii="仿宋_GB2312" w:hAnsi="Calibri" w:eastAsia="仿宋_GB2312" w:cs="Times New Roman"/>
      <w:kern w:val="0"/>
      <w:sz w:val="32"/>
      <w:szCs w:val="32"/>
    </w:rPr>
  </w:style>
  <w:style w:type="paragraph" w:styleId="9">
    <w:name w:val="toc 2"/>
    <w:basedOn w:val="1"/>
    <w:next w:val="1"/>
    <w:unhideWhenUsed/>
    <w:qFormat/>
    <w:uiPriority w:val="0"/>
    <w:pPr>
      <w:snapToGrid w:val="0"/>
      <w:spacing w:line="560" w:lineRule="exact"/>
      <w:ind w:firstLine="880" w:firstLineChars="200"/>
    </w:pPr>
    <w:rPr>
      <w:rFonts w:ascii="Times New Roman" w:hAnsi="Times New Roman" w:eastAsia="仿宋_GB2312" w:cs="Times New Roman"/>
      <w:kern w:val="0"/>
      <w:sz w:val="32"/>
    </w:rPr>
  </w:style>
  <w:style w:type="paragraph" w:styleId="10">
    <w:name w:val="Normal (Web)"/>
    <w:basedOn w:val="1"/>
    <w:unhideWhenUsed/>
    <w:qFormat/>
    <w:uiPriority w:val="0"/>
    <w:pPr>
      <w:snapToGrid w:val="0"/>
      <w:spacing w:before="100" w:beforeAutospacing="1" w:after="100" w:afterAutospacing="1"/>
      <w:jc w:val="left"/>
    </w:pPr>
    <w:rPr>
      <w:rFonts w:ascii="Calibri" w:hAnsi="Calibri" w:eastAsia="仿宋_GB2312" w:cs="Times New Roman"/>
      <w:kern w:val="0"/>
      <w:sz w:val="24"/>
    </w:rPr>
  </w:style>
  <w:style w:type="paragraph" w:styleId="11">
    <w:name w:val="Title"/>
    <w:basedOn w:val="1"/>
    <w:link w:val="20"/>
    <w:qFormat/>
    <w:uiPriority w:val="0"/>
    <w:pPr>
      <w:snapToGrid w:val="0"/>
      <w:spacing w:before="240" w:after="60"/>
      <w:jc w:val="center"/>
      <w:outlineLvl w:val="0"/>
    </w:pPr>
    <w:rPr>
      <w:rFonts w:ascii="Arial" w:hAnsi="Arial" w:eastAsia="仿宋_GB2312" w:cs="Times New Roman"/>
      <w:b/>
      <w:kern w:val="0"/>
      <w:sz w:val="32"/>
    </w:rPr>
  </w:style>
  <w:style w:type="character" w:styleId="14">
    <w:name w:val="FollowedHyperlink"/>
    <w:basedOn w:val="13"/>
    <w:unhideWhenUsed/>
    <w:qFormat/>
    <w:uiPriority w:val="99"/>
    <w:rPr>
      <w:color w:val="800080" w:themeColor="followedHyperlink"/>
      <w:u w:val="single"/>
      <w14:textFill>
        <w14:solidFill>
          <w14:schemeClr w14:val="folHlink"/>
        </w14:solidFill>
      </w14:textFill>
    </w:rPr>
  </w:style>
  <w:style w:type="character" w:styleId="15">
    <w:name w:val="Hyperlink"/>
    <w:unhideWhenUsed/>
    <w:qFormat/>
    <w:uiPriority w:val="0"/>
    <w:rPr>
      <w:color w:val="0000FF"/>
      <w:u w:val="single"/>
    </w:rPr>
  </w:style>
  <w:style w:type="character" w:customStyle="1" w:styleId="16">
    <w:name w:val="标题 2 Char"/>
    <w:basedOn w:val="13"/>
    <w:link w:val="3"/>
    <w:semiHidden/>
    <w:qFormat/>
    <w:uiPriority w:val="0"/>
    <w:rPr>
      <w:rFonts w:ascii="宋体" w:hAnsi="宋体" w:eastAsia="仿宋_GB2312" w:cs="宋体"/>
      <w:b/>
      <w:color w:val="000000"/>
      <w:kern w:val="0"/>
      <w:sz w:val="30"/>
      <w:szCs w:val="30"/>
    </w:rPr>
  </w:style>
  <w:style w:type="character" w:customStyle="1" w:styleId="17">
    <w:name w:val="访问过的超链接1"/>
    <w:basedOn w:val="13"/>
    <w:unhideWhenUsed/>
    <w:qFormat/>
    <w:uiPriority w:val="99"/>
    <w:rPr>
      <w:color w:val="800080"/>
      <w:u w:val="single"/>
    </w:rPr>
  </w:style>
  <w:style w:type="character" w:customStyle="1" w:styleId="18">
    <w:name w:val="页眉 Char"/>
    <w:basedOn w:val="13"/>
    <w:link w:val="7"/>
    <w:semiHidden/>
    <w:qFormat/>
    <w:uiPriority w:val="0"/>
    <w:rPr>
      <w:rFonts w:ascii="Calibri" w:hAnsi="Calibri" w:eastAsia="仿宋_GB2312" w:cs="Times New Roman"/>
      <w:kern w:val="0"/>
      <w:sz w:val="18"/>
    </w:rPr>
  </w:style>
  <w:style w:type="character" w:customStyle="1" w:styleId="19">
    <w:name w:val="页脚 Char"/>
    <w:basedOn w:val="13"/>
    <w:link w:val="6"/>
    <w:semiHidden/>
    <w:qFormat/>
    <w:uiPriority w:val="0"/>
    <w:rPr>
      <w:rFonts w:ascii="Calibri" w:hAnsi="Calibri" w:eastAsia="仿宋_GB2312" w:cs="Times New Roman"/>
      <w:sz w:val="18"/>
      <w:szCs w:val="18"/>
    </w:rPr>
  </w:style>
  <w:style w:type="character" w:customStyle="1" w:styleId="20">
    <w:name w:val="标题 Char"/>
    <w:basedOn w:val="13"/>
    <w:link w:val="11"/>
    <w:qFormat/>
    <w:uiPriority w:val="0"/>
    <w:rPr>
      <w:rFonts w:ascii="Arial" w:hAnsi="Arial" w:eastAsia="仿宋_GB2312" w:cs="Times New Roman"/>
      <w:b/>
      <w:kern w:val="0"/>
      <w:sz w:val="32"/>
    </w:rPr>
  </w:style>
  <w:style w:type="character" w:customStyle="1" w:styleId="21">
    <w:name w:val="正文文本 Char"/>
    <w:basedOn w:val="13"/>
    <w:link w:val="4"/>
    <w:semiHidden/>
    <w:qFormat/>
    <w:uiPriority w:val="0"/>
    <w:rPr>
      <w:rFonts w:ascii="仿宋_GB2312" w:hAnsi="仿宋_GB2312" w:eastAsia="仿宋_GB2312" w:cs="仿宋_GB2312"/>
      <w:kern w:val="0"/>
      <w:sz w:val="32"/>
      <w:szCs w:val="32"/>
      <w:lang w:val="zh-CN" w:bidi="zh-CN"/>
    </w:rPr>
  </w:style>
  <w:style w:type="paragraph" w:customStyle="1" w:styleId="22">
    <w:name w:val="普通(网站)1"/>
    <w:basedOn w:val="1"/>
    <w:qFormat/>
    <w:uiPriority w:val="0"/>
    <w:pPr>
      <w:snapToGrid w:val="0"/>
      <w:spacing w:before="100" w:beforeAutospacing="1" w:after="100" w:afterAutospacing="1"/>
      <w:jc w:val="left"/>
    </w:pPr>
    <w:rPr>
      <w:rFonts w:ascii="Calibri" w:hAnsi="Calibri" w:eastAsia="仿宋_GB2312" w:cs="Times New Roman"/>
      <w:kern w:val="0"/>
      <w:sz w:val="24"/>
    </w:rPr>
  </w:style>
  <w:style w:type="paragraph" w:customStyle="1" w:styleId="23">
    <w:name w:val="一级标题"/>
    <w:basedOn w:val="11"/>
    <w:next w:val="1"/>
    <w:qFormat/>
    <w:uiPriority w:val="0"/>
    <w:pPr>
      <w:spacing w:before="10" w:after="10"/>
      <w:ind w:firstLine="640" w:firstLineChars="200"/>
      <w:jc w:val="left"/>
    </w:pPr>
    <w:rPr>
      <w:rFonts w:eastAsia="黑体"/>
    </w:rPr>
  </w:style>
  <w:style w:type="character" w:customStyle="1" w:styleId="24">
    <w:name w:val="font11"/>
    <w:basedOn w:val="13"/>
    <w:qFormat/>
    <w:uiPriority w:val="0"/>
    <w:rPr>
      <w:rFonts w:hint="eastAsia" w:ascii="宋体" w:hAnsi="宋体" w:eastAsia="宋体" w:cs="宋体"/>
      <w:color w:val="000000"/>
      <w:sz w:val="18"/>
      <w:szCs w:val="18"/>
      <w:u w:val="none"/>
    </w:rPr>
  </w:style>
  <w:style w:type="character" w:customStyle="1" w:styleId="25">
    <w:name w:val="font21"/>
    <w:basedOn w:val="13"/>
    <w:qFormat/>
    <w:uiPriority w:val="0"/>
    <w:rPr>
      <w:rFonts w:hint="eastAsia" w:ascii="仿宋_GB2312" w:eastAsia="仿宋_GB2312" w:cs="仿宋_GB2312"/>
      <w:color w:val="000000"/>
      <w:sz w:val="18"/>
      <w:szCs w:val="18"/>
      <w:u w:val="none"/>
    </w:rPr>
  </w:style>
  <w:style w:type="character" w:customStyle="1" w:styleId="26">
    <w:name w:val="font51"/>
    <w:basedOn w:val="13"/>
    <w:qFormat/>
    <w:uiPriority w:val="0"/>
    <w:rPr>
      <w:rFonts w:hint="eastAsia" w:ascii="宋体" w:hAnsi="宋体" w:eastAsia="宋体" w:cs="宋体"/>
      <w:color w:val="000000"/>
      <w:sz w:val="18"/>
      <w:szCs w:val="18"/>
      <w:u w:val="none"/>
    </w:rPr>
  </w:style>
  <w:style w:type="character" w:customStyle="1" w:styleId="27">
    <w:name w:val="font31"/>
    <w:basedOn w:val="13"/>
    <w:qFormat/>
    <w:uiPriority w:val="0"/>
    <w:rPr>
      <w:rFonts w:hint="eastAsia" w:ascii="仿宋_GB2312" w:eastAsia="仿宋_GB2312" w:cs="仿宋_GB2312"/>
      <w:color w:val="000000"/>
      <w:sz w:val="16"/>
      <w:szCs w:val="16"/>
      <w:u w:val="non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a1d5a5-081c-4125-94f0-95b4abacf220}"/>
        <w:style w:val=""/>
        <w:category>
          <w:name w:val="常规"/>
          <w:gallery w:val="placeholder"/>
        </w:category>
        <w:types>
          <w:type w:val="bbPlcHdr"/>
        </w:types>
        <w:behaviors>
          <w:behavior w:val="content"/>
        </w:behaviors>
        <w:description w:val=""/>
        <w:guid w:val="{01a1d5a5-081c-4125-94f0-95b4abacf220}"/>
      </w:docPartPr>
      <w:docPartBody>
        <w:p>
          <w:r>
            <w:rPr>
              <w:color w:val="808080"/>
            </w:rPr>
            <w:t>单击此处输入文字。</w:t>
          </w:r>
        </w:p>
      </w:docPartBody>
    </w:docPart>
    <w:docPart>
      <w:docPartPr>
        <w:name w:val="{2d7580b0-ca77-4cad-a06e-898caab1dad1}"/>
        <w:style w:val=""/>
        <w:category>
          <w:name w:val="常规"/>
          <w:gallery w:val="placeholder"/>
        </w:category>
        <w:types>
          <w:type w:val="bbPlcHdr"/>
        </w:types>
        <w:behaviors>
          <w:behavior w:val="content"/>
        </w:behaviors>
        <w:description w:val=""/>
        <w:guid w:val="{2d7580b0-ca77-4cad-a06e-898caab1dad1}"/>
      </w:docPartPr>
      <w:docPartBody>
        <w:p>
          <w:r>
            <w:rPr>
              <w:color w:val="808080"/>
            </w:rPr>
            <w:t>单击此处输入文字。</w:t>
          </w:r>
        </w:p>
      </w:docPartBody>
    </w:docPart>
    <w:docPart>
      <w:docPartPr>
        <w:name w:val="{81657ecb-534c-4dae-b864-c25c47078d18}"/>
        <w:style w:val=""/>
        <w:category>
          <w:name w:val="常规"/>
          <w:gallery w:val="placeholder"/>
        </w:category>
        <w:types>
          <w:type w:val="bbPlcHdr"/>
        </w:types>
        <w:behaviors>
          <w:behavior w:val="content"/>
        </w:behaviors>
        <w:description w:val=""/>
        <w:guid w:val="{81657ecb-534c-4dae-b864-c25c47078d18}"/>
      </w:docPartPr>
      <w:docPartBody>
        <w:p>
          <w:r>
            <w:rPr>
              <w:color w:val="808080"/>
            </w:rPr>
            <w:t>单击此处输入文字。</w:t>
          </w:r>
        </w:p>
      </w:docPartBody>
    </w:docPart>
    <w:docPart>
      <w:docPartPr>
        <w:name w:val="{2ac60f8a-7d59-4a07-a85e-d8b53d0f2cfc}"/>
        <w:style w:val=""/>
        <w:category>
          <w:name w:val="常规"/>
          <w:gallery w:val="placeholder"/>
        </w:category>
        <w:types>
          <w:type w:val="bbPlcHdr"/>
        </w:types>
        <w:behaviors>
          <w:behavior w:val="content"/>
        </w:behaviors>
        <w:description w:val=""/>
        <w:guid w:val="{2ac60f8a-7d59-4a07-a85e-d8b53d0f2cfc}"/>
      </w:docPartPr>
      <w:docPartBody>
        <w:p>
          <w:r>
            <w:rPr>
              <w:color w:val="808080"/>
            </w:rPr>
            <w:t>单击此处输入文字。</w:t>
          </w:r>
        </w:p>
      </w:docPartBody>
    </w:docPart>
    <w:docPart>
      <w:docPartPr>
        <w:name w:val="{52f4c17c-ec65-4c37-b6c9-21d762e69293}"/>
        <w:style w:val=""/>
        <w:category>
          <w:name w:val="常规"/>
          <w:gallery w:val="placeholder"/>
        </w:category>
        <w:types>
          <w:type w:val="bbPlcHdr"/>
        </w:types>
        <w:behaviors>
          <w:behavior w:val="content"/>
        </w:behaviors>
        <w:description w:val=""/>
        <w:guid w:val="{52f4c17c-ec65-4c37-b6c9-21d762e69293}"/>
      </w:docPartPr>
      <w:docPartBody>
        <w:p>
          <w:r>
            <w:rPr>
              <w:color w:val="808080"/>
            </w:rPr>
            <w:t>单击此处输入文字。</w:t>
          </w:r>
        </w:p>
      </w:docPartBody>
    </w:docPart>
    <w:docPart>
      <w:docPartPr>
        <w:name w:val="{643930b4-765a-4f11-a62b-e6556c276efb}"/>
        <w:style w:val=""/>
        <w:category>
          <w:name w:val="常规"/>
          <w:gallery w:val="placeholder"/>
        </w:category>
        <w:types>
          <w:type w:val="bbPlcHdr"/>
        </w:types>
        <w:behaviors>
          <w:behavior w:val="content"/>
        </w:behaviors>
        <w:description w:val=""/>
        <w:guid w:val="{643930b4-765a-4f11-a62b-e6556c276efb}"/>
      </w:docPartPr>
      <w:docPartBody>
        <w:p>
          <w:r>
            <w:rPr>
              <w:color w:val="808080"/>
            </w:rPr>
            <w:t>单击此处输入文字。</w:t>
          </w:r>
        </w:p>
      </w:docPartBody>
    </w:docPart>
    <w:docPart>
      <w:docPartPr>
        <w:name w:val="{06e5765c-328c-4b10-93b3-3d04535cc4fa}"/>
        <w:style w:val=""/>
        <w:category>
          <w:name w:val="常规"/>
          <w:gallery w:val="placeholder"/>
        </w:category>
        <w:types>
          <w:type w:val="bbPlcHdr"/>
        </w:types>
        <w:behaviors>
          <w:behavior w:val="content"/>
        </w:behaviors>
        <w:description w:val=""/>
        <w:guid w:val="{06e5765c-328c-4b10-93b3-3d04535cc4fa}"/>
      </w:docPartPr>
      <w:docPartBody>
        <w:p>
          <w:r>
            <w:rPr>
              <w:color w:val="808080"/>
            </w:rPr>
            <w:t>单击此处输入文字。</w:t>
          </w:r>
        </w:p>
      </w:docPartBody>
    </w:docPart>
    <w:docPart>
      <w:docPartPr>
        <w:name w:val="{ba521604-3790-4b9b-ba6f-52e40e25ea0c}"/>
        <w:style w:val=""/>
        <w:category>
          <w:name w:val="常规"/>
          <w:gallery w:val="placeholder"/>
        </w:category>
        <w:types>
          <w:type w:val="bbPlcHdr"/>
        </w:types>
        <w:behaviors>
          <w:behavior w:val="content"/>
        </w:behaviors>
        <w:description w:val=""/>
        <w:guid w:val="{ba521604-3790-4b9b-ba6f-52e40e25ea0c}"/>
      </w:docPartPr>
      <w:docPartBody>
        <w:p>
          <w:r>
            <w:rPr>
              <w:color w:val="808080"/>
            </w:rPr>
            <w:t>单击此处输入文字。</w:t>
          </w:r>
        </w:p>
      </w:docPartBody>
    </w:docPart>
    <w:docPart>
      <w:docPartPr>
        <w:name w:val="{a1948d70-5a21-41ef-83ee-5cdf3e897631}"/>
        <w:style w:val=""/>
        <w:category>
          <w:name w:val="常规"/>
          <w:gallery w:val="placeholder"/>
        </w:category>
        <w:types>
          <w:type w:val="bbPlcHdr"/>
        </w:types>
        <w:behaviors>
          <w:behavior w:val="content"/>
        </w:behaviors>
        <w:description w:val=""/>
        <w:guid w:val="{a1948d70-5a21-41ef-83ee-5cdf3e897631}"/>
      </w:docPartPr>
      <w:docPartBody>
        <w:p>
          <w:r>
            <w:rPr>
              <w:color w:val="808080"/>
            </w:rPr>
            <w:t>单击此处输入文字。</w:t>
          </w:r>
        </w:p>
      </w:docPartBody>
    </w:docPart>
    <w:docPart>
      <w:docPartPr>
        <w:name w:val="{0a51fbf9-772e-40c0-a70b-df387ed28688}"/>
        <w:style w:val=""/>
        <w:category>
          <w:name w:val="常规"/>
          <w:gallery w:val="placeholder"/>
        </w:category>
        <w:types>
          <w:type w:val="bbPlcHdr"/>
        </w:types>
        <w:behaviors>
          <w:behavior w:val="content"/>
        </w:behaviors>
        <w:description w:val=""/>
        <w:guid w:val="{0a51fbf9-772e-40c0-a70b-df387ed28688}"/>
      </w:docPartPr>
      <w:docPartBody>
        <w:p>
          <w:r>
            <w:rPr>
              <w:color w:val="808080"/>
            </w:rPr>
            <w:t>单击此处输入文字。</w:t>
          </w:r>
        </w:p>
      </w:docPartBody>
    </w:docPart>
    <w:docPart>
      <w:docPartPr>
        <w:name w:val="{3b86901a-c390-474e-83aa-b60f27fa1fd4}"/>
        <w:style w:val=""/>
        <w:category>
          <w:name w:val="常规"/>
          <w:gallery w:val="placeholder"/>
        </w:category>
        <w:types>
          <w:type w:val="bbPlcHdr"/>
        </w:types>
        <w:behaviors>
          <w:behavior w:val="content"/>
        </w:behaviors>
        <w:description w:val=""/>
        <w:guid w:val="{3b86901a-c390-474e-83aa-b60f27fa1fd4}"/>
      </w:docPartPr>
      <w:docPartBody>
        <w:p>
          <w:r>
            <w:rPr>
              <w:color w:val="808080"/>
            </w:rPr>
            <w:t>单击此处输入文字。</w:t>
          </w:r>
        </w:p>
      </w:docPartBody>
    </w:docPart>
    <w:docPart>
      <w:docPartPr>
        <w:name w:val="{b2afba34-bafd-4256-88d8-44bda95ccd1e}"/>
        <w:style w:val=""/>
        <w:category>
          <w:name w:val="常规"/>
          <w:gallery w:val="placeholder"/>
        </w:category>
        <w:types>
          <w:type w:val="bbPlcHdr"/>
        </w:types>
        <w:behaviors>
          <w:behavior w:val="content"/>
        </w:behaviors>
        <w:description w:val=""/>
        <w:guid w:val="{b2afba34-bafd-4256-88d8-44bda95ccd1e}"/>
      </w:docPartPr>
      <w:docPartBody>
        <w:p>
          <w:r>
            <w:rPr>
              <w:color w:val="808080"/>
            </w:rPr>
            <w:t>单击此处输入文字。</w:t>
          </w:r>
        </w:p>
      </w:docPartBody>
    </w:docPart>
    <w:docPart>
      <w:docPartPr>
        <w:name w:val="{cab3061d-34d5-41af-a2d9-12d77ff72ea2}"/>
        <w:style w:val=""/>
        <w:category>
          <w:name w:val="常规"/>
          <w:gallery w:val="placeholder"/>
        </w:category>
        <w:types>
          <w:type w:val="bbPlcHdr"/>
        </w:types>
        <w:behaviors>
          <w:behavior w:val="content"/>
        </w:behaviors>
        <w:description w:val=""/>
        <w:guid w:val="{cab3061d-34d5-41af-a2d9-12d77ff72ea2}"/>
      </w:docPartPr>
      <w:docPartBody>
        <w:p>
          <w:r>
            <w:rPr>
              <w:color w:val="808080"/>
            </w:rPr>
            <w:t>单击此处输入文字。</w:t>
          </w:r>
        </w:p>
      </w:docPartBody>
    </w:docPart>
    <w:docPart>
      <w:docPartPr>
        <w:name w:val="{0e40887e-c35d-46b0-b898-f89a05159542}"/>
        <w:style w:val=""/>
        <w:category>
          <w:name w:val="常规"/>
          <w:gallery w:val="placeholder"/>
        </w:category>
        <w:types>
          <w:type w:val="bbPlcHdr"/>
        </w:types>
        <w:behaviors>
          <w:behavior w:val="content"/>
        </w:behaviors>
        <w:description w:val=""/>
        <w:guid w:val="{0e40887e-c35d-46b0-b898-f89a05159542}"/>
      </w:docPartPr>
      <w:docPartBody>
        <w:p>
          <w:r>
            <w:rPr>
              <w:color w:val="808080"/>
            </w:rPr>
            <w:t>单击此处输入文字。</w:t>
          </w:r>
        </w:p>
      </w:docPartBody>
    </w:docPart>
    <w:docPart>
      <w:docPartPr>
        <w:name w:val="{006eebd1-c685-49d5-a7b4-11ee36d8d27a}"/>
        <w:style w:val=""/>
        <w:category>
          <w:name w:val="常规"/>
          <w:gallery w:val="placeholder"/>
        </w:category>
        <w:types>
          <w:type w:val="bbPlcHdr"/>
        </w:types>
        <w:behaviors>
          <w:behavior w:val="content"/>
        </w:behaviors>
        <w:description w:val=""/>
        <w:guid w:val="{006eebd1-c685-49d5-a7b4-11ee36d8d27a}"/>
      </w:docPartPr>
      <w:docPartBody>
        <w:p>
          <w:r>
            <w:rPr>
              <w:color w:val="808080"/>
            </w:rPr>
            <w:t>单击此处输入文字。</w:t>
          </w:r>
        </w:p>
      </w:docPartBody>
    </w:docPart>
    <w:docPart>
      <w:docPartPr>
        <w:name w:val="{24cd7518-b0dd-434b-a4a3-14199e84d0d4}"/>
        <w:style w:val=""/>
        <w:category>
          <w:name w:val="常规"/>
          <w:gallery w:val="placeholder"/>
        </w:category>
        <w:types>
          <w:type w:val="bbPlcHdr"/>
        </w:types>
        <w:behaviors>
          <w:behavior w:val="content"/>
        </w:behaviors>
        <w:description w:val=""/>
        <w:guid w:val="{24cd7518-b0dd-434b-a4a3-14199e84d0d4}"/>
      </w:docPartPr>
      <w:docPartBody>
        <w:p>
          <w:r>
            <w:rPr>
              <w:color w:val="808080"/>
            </w:rPr>
            <w:t>单击此处输入文字。</w:t>
          </w:r>
        </w:p>
      </w:docPartBody>
    </w:docPart>
    <w:docPart>
      <w:docPartPr>
        <w:name w:val="{0adbf05e-24a5-403e-9f0b-ea80c4114391}"/>
        <w:style w:val=""/>
        <w:category>
          <w:name w:val="常规"/>
          <w:gallery w:val="placeholder"/>
        </w:category>
        <w:types>
          <w:type w:val="bbPlcHdr"/>
        </w:types>
        <w:behaviors>
          <w:behavior w:val="content"/>
        </w:behaviors>
        <w:description w:val=""/>
        <w:guid w:val="{0adbf05e-24a5-403e-9f0b-ea80c4114391}"/>
      </w:docPartPr>
      <w:docPartBody>
        <w:p>
          <w:r>
            <w:rPr>
              <w:color w:val="808080"/>
            </w:rPr>
            <w:t>单击此处输入文字。</w:t>
          </w:r>
        </w:p>
      </w:docPartBody>
    </w:docPart>
    <w:docPart>
      <w:docPartPr>
        <w:name w:val="{e4390a0f-c09e-40b7-b347-a6ba2ab65f58}"/>
        <w:style w:val=""/>
        <w:category>
          <w:name w:val="常规"/>
          <w:gallery w:val="placeholder"/>
        </w:category>
        <w:types>
          <w:type w:val="bbPlcHdr"/>
        </w:types>
        <w:behaviors>
          <w:behavior w:val="content"/>
        </w:behaviors>
        <w:description w:val=""/>
        <w:guid w:val="{e4390a0f-c09e-40b7-b347-a6ba2ab65f58}"/>
      </w:docPartPr>
      <w:docPartBody>
        <w:p>
          <w:r>
            <w:rPr>
              <w:color w:val="808080"/>
            </w:rPr>
            <w:t>单击此处输入文字。</w:t>
          </w:r>
        </w:p>
      </w:docPartBody>
    </w:docPart>
    <w:docPart>
      <w:docPartPr>
        <w:name w:val="{219524f7-c140-4626-88d1-d0e7729aca23}"/>
        <w:style w:val=""/>
        <w:category>
          <w:name w:val="常规"/>
          <w:gallery w:val="placeholder"/>
        </w:category>
        <w:types>
          <w:type w:val="bbPlcHdr"/>
        </w:types>
        <w:behaviors>
          <w:behavior w:val="content"/>
        </w:behaviors>
        <w:description w:val=""/>
        <w:guid w:val="{219524f7-c140-4626-88d1-d0e7729aca23}"/>
      </w:docPartPr>
      <w:docPartBody>
        <w:p>
          <w:r>
            <w:rPr>
              <w:color w:val="808080"/>
            </w:rPr>
            <w:t>单击此处输入文字。</w:t>
          </w:r>
        </w:p>
      </w:docPartBody>
    </w:docPart>
    <w:docPart>
      <w:docPartPr>
        <w:name w:val="{a9099c46-07b0-4f49-a95b-67a3ca12c5bc}"/>
        <w:style w:val=""/>
        <w:category>
          <w:name w:val="常规"/>
          <w:gallery w:val="placeholder"/>
        </w:category>
        <w:types>
          <w:type w:val="bbPlcHdr"/>
        </w:types>
        <w:behaviors>
          <w:behavior w:val="content"/>
        </w:behaviors>
        <w:description w:val=""/>
        <w:guid w:val="{a9099c46-07b0-4f49-a95b-67a3ca12c5bc}"/>
      </w:docPartPr>
      <w:docPartBody>
        <w:p>
          <w:r>
            <w:rPr>
              <w:color w:val="808080"/>
            </w:rPr>
            <w:t>单击此处输入文字。</w:t>
          </w:r>
        </w:p>
      </w:docPartBody>
    </w:docPart>
    <w:docPart>
      <w:docPartPr>
        <w:name w:val="{5fbd3a9f-f1bf-49a6-a2c9-f6b0ce50a0fd}"/>
        <w:style w:val=""/>
        <w:category>
          <w:name w:val="常规"/>
          <w:gallery w:val="placeholder"/>
        </w:category>
        <w:types>
          <w:type w:val="bbPlcHdr"/>
        </w:types>
        <w:behaviors>
          <w:behavior w:val="content"/>
        </w:behaviors>
        <w:description w:val=""/>
        <w:guid w:val="{5fbd3a9f-f1bf-49a6-a2c9-f6b0ce50a0fd}"/>
      </w:docPartPr>
      <w:docPartBody>
        <w:p>
          <w:r>
            <w:rPr>
              <w:color w:val="808080"/>
            </w:rPr>
            <w:t>单击此处输入文字。</w:t>
          </w:r>
        </w:p>
      </w:docPartBody>
    </w:docPart>
    <w:docPart>
      <w:docPartPr>
        <w:name w:val="{66a4bb4e-ea24-47f7-ba0d-075f2fb07c88}"/>
        <w:style w:val=""/>
        <w:category>
          <w:name w:val="常规"/>
          <w:gallery w:val="placeholder"/>
        </w:category>
        <w:types>
          <w:type w:val="bbPlcHdr"/>
        </w:types>
        <w:behaviors>
          <w:behavior w:val="content"/>
        </w:behaviors>
        <w:description w:val=""/>
        <w:guid w:val="{66a4bb4e-ea24-47f7-ba0d-075f2fb07c8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3070</Words>
  <Characters>4879</Characters>
  <Lines>121</Lines>
  <Paragraphs>34</Paragraphs>
  <TotalTime>3</TotalTime>
  <ScaleCrop>false</ScaleCrop>
  <LinksUpToDate>false</LinksUpToDate>
  <CharactersWithSpaces>4938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2023-08-29T09:19:00Z</dcterms:created>
  <dc:creator>王婧</dc:creator>
  <cp:lastModifiedBy>wangjing</cp:lastModifiedBy>
  <dcterms:modified xsi:type="dcterms:W3CDTF">2025-08-26T10:33:15Z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2B7E1B44E34B4408A866EB8B103E0EC2_12</vt:lpwstr>
  </property>
  <property fmtid="{D5CDD505-2E9C-101B-9397-08002B2CF9AE}" pid="4" name="KSOTemplateDocerSaveRecord">
    <vt:lpwstr>eyJoZGlkIjoiZjgxMmNiMDgwYTkwZGYwMGZkMWM0MTMyY2RiOGU5MGQiLCJ1c2VySWQiOiIzMTM1ODY3NTYifQ==</vt:lpwstr>
  </property>
</Properties>
</file>